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9B" w:rsidRPr="00B36AE9" w:rsidRDefault="00B36AE9" w:rsidP="0042129B">
      <w:pPr>
        <w:autoSpaceDE w:val="0"/>
        <w:autoSpaceDN w:val="0"/>
        <w:adjustRightInd w:val="0"/>
        <w:spacing w:after="0" w:line="240" w:lineRule="auto"/>
        <w:rPr>
          <w:rFonts w:ascii="Calibri-Bold" w:hAnsi="Calibri-Bold" w:cs="Calibri-Bold"/>
          <w:b/>
          <w:bCs/>
          <w:sz w:val="32"/>
          <w:szCs w:val="32"/>
        </w:rPr>
      </w:pPr>
      <w:r w:rsidRPr="00B36AE9">
        <w:rPr>
          <w:rFonts w:ascii="Calibri-Bold" w:hAnsi="Calibri-Bold" w:cs="Calibri-Bold"/>
          <w:b/>
          <w:bCs/>
          <w:sz w:val="32"/>
          <w:szCs w:val="32"/>
        </w:rPr>
        <w:t>McCarthy &amp; Associates Financial Consultants Ltd</w:t>
      </w:r>
    </w:p>
    <w:p w:rsidR="0042129B" w:rsidRDefault="0042129B" w:rsidP="0042129B">
      <w:pPr>
        <w:autoSpaceDE w:val="0"/>
        <w:autoSpaceDN w:val="0"/>
        <w:adjustRightInd w:val="0"/>
        <w:spacing w:after="0" w:line="240" w:lineRule="auto"/>
        <w:rPr>
          <w:rFonts w:ascii="Calibri-Bold" w:hAnsi="Calibri-Bold" w:cs="Calibri-Bold"/>
          <w:b/>
          <w:bCs/>
          <w:sz w:val="36"/>
          <w:szCs w:val="36"/>
        </w:rPr>
      </w:pPr>
      <w:r>
        <w:rPr>
          <w:rFonts w:ascii="Calibri-Bold" w:hAnsi="Calibri-Bold" w:cs="Calibri-Bold"/>
          <w:b/>
          <w:bCs/>
          <w:sz w:val="36"/>
          <w:szCs w:val="36"/>
        </w:rPr>
        <w:t>Our Remuneration</w:t>
      </w:r>
    </w:p>
    <w:p w:rsidR="0042129B" w:rsidRDefault="004500BE"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McCarthy &amp; Associates</w:t>
      </w:r>
      <w:r w:rsidR="0042129B">
        <w:rPr>
          <w:rFonts w:ascii="Calibri-Bold" w:hAnsi="Calibri-Bold" w:cs="Calibri-Bold"/>
          <w:b/>
          <w:bCs/>
        </w:rPr>
        <w:t xml:space="preserve"> acts as intermediary (Broker) between you, the consumer, and the</w:t>
      </w:r>
      <w:r>
        <w:rPr>
          <w:rFonts w:ascii="Calibri-Bold" w:hAnsi="Calibri-Bold" w:cs="Calibri-Bold"/>
          <w:b/>
          <w:bCs/>
        </w:rPr>
        <w:t xml:space="preserve"> </w:t>
      </w:r>
      <w:r w:rsidR="0042129B">
        <w:rPr>
          <w:rFonts w:ascii="Calibri-Bold" w:hAnsi="Calibri-Bold" w:cs="Calibri-Bold"/>
          <w:b/>
          <w:bCs/>
        </w:rPr>
        <w:t>product provider with which we arrange your business.</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The Background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Pursuant to provision 4.58A of the Central Bank of Ireland’s September 2019 Addendum to the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Consumer Protection Code, all intermediaries, must make available in their public offices, or on their</w:t>
      </w:r>
    </w:p>
    <w:p w:rsidR="0042129B" w:rsidRDefault="00FF7AA9" w:rsidP="0042129B">
      <w:pPr>
        <w:autoSpaceDE w:val="0"/>
        <w:autoSpaceDN w:val="0"/>
        <w:adjustRightInd w:val="0"/>
        <w:spacing w:after="0" w:line="240" w:lineRule="auto"/>
        <w:rPr>
          <w:rFonts w:ascii="Calibri" w:hAnsi="Calibri" w:cs="Calibri"/>
        </w:rPr>
      </w:pPr>
      <w:r>
        <w:rPr>
          <w:rFonts w:ascii="Calibri" w:hAnsi="Calibri" w:cs="Calibri"/>
        </w:rPr>
        <w:t>Website</w:t>
      </w:r>
      <w:r w:rsidR="0042129B">
        <w:rPr>
          <w:rFonts w:ascii="Calibri" w:hAnsi="Calibri" w:cs="Calibri"/>
        </w:rPr>
        <w:t xml:space="preserve"> if they have one, a summary of the details of all arrangements for any fee, commission, other</w:t>
      </w:r>
    </w:p>
    <w:p w:rsidR="0042129B" w:rsidRDefault="00FF7AA9" w:rsidP="0042129B">
      <w:pPr>
        <w:autoSpaceDE w:val="0"/>
        <w:autoSpaceDN w:val="0"/>
        <w:adjustRightInd w:val="0"/>
        <w:spacing w:after="0" w:line="240" w:lineRule="auto"/>
        <w:rPr>
          <w:rFonts w:ascii="Calibri" w:hAnsi="Calibri" w:cs="Calibri"/>
        </w:rPr>
      </w:pPr>
      <w:r>
        <w:rPr>
          <w:rFonts w:ascii="Calibri" w:hAnsi="Calibri" w:cs="Calibri"/>
        </w:rPr>
        <w:t>Reward</w:t>
      </w:r>
      <w:r w:rsidR="0042129B">
        <w:rPr>
          <w:rFonts w:ascii="Calibri" w:hAnsi="Calibri" w:cs="Calibri"/>
        </w:rPr>
        <w:t xml:space="preserve"> or remuneration provided to the intermediary which it has agreed with its product producers.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Throughout this summary, there may be various commission options, ranges or maximum</w:t>
      </w:r>
    </w:p>
    <w:p w:rsidR="0042129B" w:rsidRDefault="00FF7AA9" w:rsidP="0042129B">
      <w:pPr>
        <w:autoSpaceDE w:val="0"/>
        <w:autoSpaceDN w:val="0"/>
        <w:adjustRightInd w:val="0"/>
        <w:spacing w:after="0" w:line="240" w:lineRule="auto"/>
        <w:rPr>
          <w:rFonts w:ascii="Calibri" w:hAnsi="Calibri" w:cs="Calibri"/>
        </w:rPr>
      </w:pPr>
      <w:r>
        <w:rPr>
          <w:rFonts w:ascii="Calibri" w:hAnsi="Calibri" w:cs="Calibri"/>
        </w:rPr>
        <w:t>Percentages</w:t>
      </w:r>
      <w:r w:rsidR="0042129B">
        <w:rPr>
          <w:rFonts w:ascii="Calibri" w:hAnsi="Calibri" w:cs="Calibri"/>
        </w:rPr>
        <w:t xml:space="preserve"> of commissions shown. Where these are shown, the basis on which the level of</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commission taken may be decided at our discretion, set by the product provider, or as otherwise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agreed with you, and will be dependent on the type of policy, premium amount, length of term of the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policy, length of investment period, our time spent in researching, advising and arranging product(s),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complexity of the product(s) and service provided, seniority of personnel involved, amount of</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commission we deem to be appropriate to remunerate us for providing our services to you.</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What is Remuneration?</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Remuneration is the payment earned by the intermediary for work undertaken on behalf of both the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provider and the consumer. The amount of remuneration is generally directly related to the value of</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the products sold.</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What is Commission?</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 xml:space="preserve">Commission is payment that may be earned by an intermediary for work undertaken for both </w:t>
      </w:r>
      <w:r w:rsidR="00FF7AA9">
        <w:rPr>
          <w:rFonts w:ascii="Calibri" w:hAnsi="Calibri" w:cs="Calibri"/>
        </w:rPr>
        <w:t>providers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and consumer.</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There are different types of remuneration and different commission models:</w:t>
      </w:r>
    </w:p>
    <w:p w:rsidR="0042129B" w:rsidRDefault="0042129B" w:rsidP="0042129B">
      <w:pPr>
        <w:autoSpaceDE w:val="0"/>
        <w:autoSpaceDN w:val="0"/>
        <w:adjustRightInd w:val="0"/>
        <w:spacing w:after="0" w:line="240" w:lineRule="auto"/>
        <w:rPr>
          <w:rFonts w:ascii="Calibri" w:hAnsi="Calibri" w:cs="Calibri"/>
        </w:rPr>
      </w:pPr>
      <w:r>
        <w:rPr>
          <w:rFonts w:ascii="Calibri-Bold" w:hAnsi="Calibri-Bold" w:cs="Calibri-Bold"/>
          <w:b/>
          <w:bCs/>
        </w:rPr>
        <w:t>Single commission model</w:t>
      </w:r>
      <w:r>
        <w:rPr>
          <w:rFonts w:ascii="Calibri-BoldItalic" w:hAnsi="Calibri-BoldItalic" w:cs="Calibri-BoldItalic"/>
          <w:b/>
          <w:bCs/>
          <w:i/>
          <w:iCs/>
        </w:rPr>
        <w:t xml:space="preserve">: </w:t>
      </w:r>
      <w:r>
        <w:rPr>
          <w:rFonts w:ascii="Calibri" w:hAnsi="Calibri" w:cs="Calibri"/>
        </w:rPr>
        <w:t>where payment is made to the intermediary shortly after the sale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is completed and is based on a percentage of the premium paid/amount invested/amount</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borrowed.</w:t>
      </w:r>
    </w:p>
    <w:p w:rsidR="0042129B" w:rsidRDefault="0042129B" w:rsidP="0042129B">
      <w:pPr>
        <w:autoSpaceDE w:val="0"/>
        <w:autoSpaceDN w:val="0"/>
        <w:adjustRightInd w:val="0"/>
        <w:spacing w:after="0" w:line="240" w:lineRule="auto"/>
        <w:rPr>
          <w:rFonts w:ascii="Calibri" w:hAnsi="Calibri" w:cs="Calibri"/>
        </w:rPr>
      </w:pPr>
      <w:r>
        <w:rPr>
          <w:rFonts w:ascii="Calibri-Bold" w:hAnsi="Calibri-Bold" w:cs="Calibri-Bold"/>
          <w:b/>
          <w:bCs/>
        </w:rPr>
        <w:t xml:space="preserve">Trail/Renewal commission model: </w:t>
      </w:r>
      <w:r>
        <w:rPr>
          <w:rFonts w:ascii="Calibri" w:hAnsi="Calibri" w:cs="Calibri"/>
        </w:rPr>
        <w:t>Further payments at intervals are paid throughout the life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span of the product.</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Indemnity Commission</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Indemnity commission is the term used to describe a commission payment made before the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commission is deemed to be ‘earned’. Indemnity commission may be subject to a clawback</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(see below) if the consumer lapses or cancels the product before the commission is deemed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to be earned.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Other forms of indemnity commission are advances of commission for future sales granted to</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2</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intermediaries in order to assist with set up costs or business development.</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Life Assurance/Investments/Pension Products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For Life Assurance products commission is divided into initial commission and renewal commission</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(related to premium), fund based or trail (relating to accumulated fund).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Trail commission, bullet commission, fund based, flat commission or renewal commission are all terms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used for ongoing payments. Where an investment fund is being built up though an insurance-based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investment product or a pension product, the increments may be based on a percentage of the value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of the fund or the annual premium. For a single premium/lump sum product, the increment is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generally based on the value of the fund.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lastRenderedPageBreak/>
        <w:t>Life Assurance products fall into either individual or group protection policies and Investment/Pension</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products would be either single or regular contribution policies. Examples of products include Life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 xml:space="preserve">Protection, Regular Premium Life Assurance Investments, Single Premium (lump sum) </w:t>
      </w:r>
      <w:r w:rsidR="00FF7AA9">
        <w:rPr>
          <w:rFonts w:ascii="Calibri" w:hAnsi="Calibri" w:cs="Calibri"/>
        </w:rPr>
        <w:t>Insurance based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Investments, and Single Premium Pensions.</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Investments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Investment firms, which fall within the scope of the European Communities (Markets in Financial</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Instruments) Regulations 2007 (the MiFID Regulations), offer both standard commission and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commission models involving initial and trail commission. Increments may be based on a percentage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of the investment management fees, or on the value of the fund.</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Clawback</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Clawback is an obligation on the intermediary to repay unearned commission. Commission can be paid</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directly after a contract is concluded but is not deemed to be ‘earned’ until after a specified period of</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time. If the consumer cancels or withdraws from the financial product within the specified time, the</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intermediary must return commission to the product producer.</w:t>
      </w:r>
    </w:p>
    <w:p w:rsidR="0042129B" w:rsidRDefault="0042129B" w:rsidP="0042129B">
      <w:pPr>
        <w:autoSpaceDE w:val="0"/>
        <w:autoSpaceDN w:val="0"/>
        <w:adjustRightInd w:val="0"/>
        <w:spacing w:after="0" w:line="240" w:lineRule="auto"/>
        <w:rPr>
          <w:rFonts w:ascii="Calibri-Bold" w:hAnsi="Calibri-Bold" w:cs="Calibri-Bold"/>
          <w:b/>
          <w:bCs/>
        </w:rPr>
      </w:pPr>
      <w:r>
        <w:rPr>
          <w:rFonts w:ascii="Calibri-Bold" w:hAnsi="Calibri-Bold" w:cs="Calibri-Bold"/>
          <w:b/>
          <w:bCs/>
        </w:rPr>
        <w:t>Other Fees, Administrative Costs/ Non-Monetary Benefits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The firm may also be in receipt of other fees, administrative costs, or non-monetary benefits such as:</w:t>
      </w:r>
    </w:p>
    <w:p w:rsidR="0042129B" w:rsidRDefault="0042129B" w:rsidP="0042129B">
      <w:pPr>
        <w:autoSpaceDE w:val="0"/>
        <w:autoSpaceDN w:val="0"/>
        <w:adjustRightInd w:val="0"/>
        <w:spacing w:after="0" w:line="240" w:lineRule="auto"/>
        <w:rPr>
          <w:rFonts w:ascii="Calibri" w:hAnsi="Calibri" w:cs="Calibri"/>
        </w:rPr>
      </w:pPr>
      <w:r>
        <w:rPr>
          <w:rFonts w:ascii="SymbolMT" w:hAnsi="SymbolMT" w:cs="SymbolMT"/>
        </w:rPr>
        <w:t xml:space="preserve">• </w:t>
      </w:r>
      <w:r>
        <w:rPr>
          <w:rFonts w:ascii="Calibri" w:hAnsi="Calibri" w:cs="Calibri"/>
        </w:rPr>
        <w:t>Attendance at product provider business seminars</w:t>
      </w:r>
    </w:p>
    <w:p w:rsidR="0042129B" w:rsidRDefault="0042129B" w:rsidP="0042129B">
      <w:pPr>
        <w:autoSpaceDE w:val="0"/>
        <w:autoSpaceDN w:val="0"/>
        <w:adjustRightInd w:val="0"/>
        <w:spacing w:after="0" w:line="240" w:lineRule="auto"/>
        <w:rPr>
          <w:rFonts w:ascii="Calibri" w:hAnsi="Calibri" w:cs="Calibri"/>
        </w:rPr>
      </w:pPr>
      <w:r>
        <w:rPr>
          <w:rFonts w:ascii="SymbolMT" w:hAnsi="SymbolMT" w:cs="SymbolMT"/>
        </w:rPr>
        <w:t xml:space="preserve">• </w:t>
      </w:r>
      <w:r>
        <w:rPr>
          <w:rFonts w:ascii="Calibri" w:hAnsi="Calibri" w:cs="Calibri"/>
        </w:rPr>
        <w:t>Assistance with Advertising/Branding</w:t>
      </w:r>
    </w:p>
    <w:p w:rsidR="0042129B" w:rsidRDefault="0042129B" w:rsidP="0042129B">
      <w:pPr>
        <w:autoSpaceDE w:val="0"/>
        <w:autoSpaceDN w:val="0"/>
        <w:adjustRightInd w:val="0"/>
        <w:spacing w:after="0" w:line="240" w:lineRule="auto"/>
        <w:rPr>
          <w:rFonts w:ascii="Calibri" w:hAnsi="Calibri" w:cs="Calibri"/>
        </w:rPr>
      </w:pP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Set out below are the product providers with which we hold an agency. Remuneration arrangements</w:t>
      </w:r>
    </w:p>
    <w:p w:rsidR="0042129B" w:rsidRDefault="0042129B" w:rsidP="0042129B">
      <w:pPr>
        <w:autoSpaceDE w:val="0"/>
        <w:autoSpaceDN w:val="0"/>
        <w:adjustRightInd w:val="0"/>
        <w:spacing w:after="0" w:line="240" w:lineRule="auto"/>
        <w:rPr>
          <w:rFonts w:ascii="Calibri" w:hAnsi="Calibri" w:cs="Calibri"/>
        </w:rPr>
      </w:pPr>
      <w:r>
        <w:rPr>
          <w:rFonts w:ascii="Calibri" w:hAnsi="Calibri" w:cs="Calibri"/>
        </w:rPr>
        <w:t>are shown for each provider and product type.</w:t>
      </w:r>
    </w:p>
    <w:p w:rsidR="0042129B" w:rsidRDefault="0042129B" w:rsidP="0042129B">
      <w:pPr>
        <w:autoSpaceDE w:val="0"/>
        <w:autoSpaceDN w:val="0"/>
        <w:adjustRightInd w:val="0"/>
        <w:spacing w:after="0" w:line="240" w:lineRule="auto"/>
        <w:rPr>
          <w:rFonts w:ascii="Calibri" w:hAnsi="Calibri" w:cs="Calibri"/>
        </w:rPr>
      </w:pPr>
    </w:p>
    <w:p w:rsidR="00B67168" w:rsidRDefault="00B67168" w:rsidP="0042129B">
      <w:pPr>
        <w:autoSpaceDE w:val="0"/>
        <w:autoSpaceDN w:val="0"/>
        <w:adjustRightInd w:val="0"/>
        <w:spacing w:after="0" w:line="240" w:lineRule="auto"/>
        <w:rPr>
          <w:rFonts w:ascii="Calibri" w:hAnsi="Calibri" w:cs="Calibri"/>
        </w:rPr>
      </w:pPr>
    </w:p>
    <w:p w:rsidR="009E6D7A" w:rsidRPr="000C732E" w:rsidRDefault="009E6D7A" w:rsidP="009E6D7A">
      <w:pPr>
        <w:pStyle w:val="BodyText"/>
        <w:jc w:val="center"/>
        <w:rPr>
          <w:rFonts w:ascii="Calibri" w:hAnsi="Calibri"/>
          <w:b/>
          <w:i w:val="0"/>
          <w:sz w:val="22"/>
        </w:rPr>
      </w:pPr>
      <w:r w:rsidRPr="000C732E">
        <w:rPr>
          <w:rFonts w:ascii="Calibri" w:hAnsi="Calibri"/>
          <w:b/>
          <w:i w:val="0"/>
          <w:sz w:val="22"/>
        </w:rPr>
        <w:t>List of Product Producers</w:t>
      </w:r>
    </w:p>
    <w:p w:rsidR="009E6D7A" w:rsidRPr="000C732E" w:rsidRDefault="009E6D7A" w:rsidP="009E6D7A">
      <w:pPr>
        <w:jc w:val="both"/>
        <w:rPr>
          <w:rFonts w:ascii="Calibri" w:hAnsi="Calibri"/>
          <w:szCs w:val="16"/>
        </w:rPr>
      </w:pPr>
    </w:p>
    <w:p w:rsidR="009E6D7A" w:rsidRPr="000C732E" w:rsidRDefault="009E6D7A" w:rsidP="009E6D7A">
      <w:pPr>
        <w:jc w:val="both"/>
        <w:rPr>
          <w:rFonts w:ascii="Calibri" w:hAnsi="Calibri"/>
          <w:szCs w:val="24"/>
        </w:rPr>
      </w:pPr>
      <w:r w:rsidRPr="000C732E">
        <w:rPr>
          <w:rFonts w:ascii="Calibri" w:hAnsi="Calibri"/>
        </w:rPr>
        <w:t>We hold letters of appointment from the following Product Producer</w:t>
      </w:r>
    </w:p>
    <w:p w:rsidR="009E6D7A" w:rsidRPr="000C732E" w:rsidRDefault="009E6D7A" w:rsidP="009E6D7A">
      <w:pPr>
        <w:jc w:val="both"/>
        <w:rPr>
          <w:rFonts w:ascii="Calibri" w:hAnsi="Calibri"/>
          <w:b/>
          <w:szCs w:val="24"/>
          <w:u w:val="single"/>
        </w:rPr>
      </w:pPr>
      <w:r w:rsidRPr="000C732E">
        <w:rPr>
          <w:rFonts w:ascii="Calibri" w:hAnsi="Calibri"/>
          <w:b/>
          <w:u w:val="single"/>
        </w:rPr>
        <w:t>Investments/Bank Deposits</w:t>
      </w:r>
    </w:p>
    <w:p w:rsidR="009E6D7A" w:rsidRPr="000C732E" w:rsidRDefault="009E6D7A" w:rsidP="009E6D7A">
      <w:pPr>
        <w:jc w:val="both"/>
        <w:rPr>
          <w:rFonts w:ascii="Calibri" w:hAnsi="Calibri"/>
        </w:rPr>
      </w:pPr>
      <w:r w:rsidRPr="000C732E">
        <w:rPr>
          <w:rFonts w:ascii="Calibri" w:hAnsi="Calibri"/>
        </w:rPr>
        <w:t>Written letters of appointment are held by our firm, in relation to investments/bank deposits, from the following institutions:</w:t>
      </w:r>
    </w:p>
    <w:p w:rsidR="009E6D7A" w:rsidRPr="000C732E" w:rsidRDefault="009E6D7A" w:rsidP="009E6D7A">
      <w:pPr>
        <w:jc w:val="both"/>
        <w:rPr>
          <w:rFonts w:ascii="Calibri" w:hAnsi="Calibri"/>
        </w:rPr>
      </w:pPr>
    </w:p>
    <w:p w:rsidR="009E6D7A" w:rsidRPr="000C732E" w:rsidRDefault="009E6D7A" w:rsidP="009E6D7A">
      <w:pPr>
        <w:jc w:val="both"/>
        <w:rPr>
          <w:rFonts w:ascii="Calibri" w:hAnsi="Calibri"/>
        </w:rPr>
      </w:pPr>
      <w:r w:rsidRPr="000C732E">
        <w:rPr>
          <w:rFonts w:ascii="Calibri" w:hAnsi="Calibri"/>
        </w:rPr>
        <w:t>BCP Asset Management Ltd.</w:t>
      </w:r>
    </w:p>
    <w:p w:rsidR="009E6D7A" w:rsidRPr="000C732E" w:rsidRDefault="009E6D7A" w:rsidP="009E6D7A">
      <w:pPr>
        <w:jc w:val="both"/>
        <w:rPr>
          <w:rFonts w:ascii="Calibri" w:hAnsi="Calibri"/>
        </w:rPr>
      </w:pPr>
      <w:r w:rsidRPr="000C732E">
        <w:rPr>
          <w:rFonts w:ascii="Calibri" w:hAnsi="Calibri"/>
        </w:rPr>
        <w:t>Broker Solutions</w:t>
      </w:r>
    </w:p>
    <w:p w:rsidR="009E6D7A" w:rsidRPr="000C732E" w:rsidRDefault="009E6D7A" w:rsidP="009E6D7A">
      <w:pPr>
        <w:jc w:val="both"/>
        <w:rPr>
          <w:rFonts w:ascii="Calibri" w:hAnsi="Calibri"/>
        </w:rPr>
      </w:pPr>
      <w:r w:rsidRPr="000C732E">
        <w:rPr>
          <w:rFonts w:ascii="Calibri" w:hAnsi="Calibri"/>
        </w:rPr>
        <w:t>Cantor FitzGerald</w:t>
      </w:r>
    </w:p>
    <w:p w:rsidR="009E6D7A" w:rsidRPr="000C732E" w:rsidRDefault="009E6D7A" w:rsidP="009E6D7A">
      <w:pPr>
        <w:jc w:val="both"/>
        <w:rPr>
          <w:rFonts w:ascii="Calibri" w:hAnsi="Calibri"/>
        </w:rPr>
      </w:pPr>
      <w:r w:rsidRPr="000C732E">
        <w:rPr>
          <w:rFonts w:ascii="Calibri" w:hAnsi="Calibri"/>
        </w:rPr>
        <w:t>Gresham House Asset Management</w:t>
      </w:r>
    </w:p>
    <w:p w:rsidR="009E6D7A" w:rsidRPr="000C732E" w:rsidRDefault="009E6D7A" w:rsidP="009E6D7A">
      <w:pPr>
        <w:jc w:val="both"/>
        <w:rPr>
          <w:rFonts w:ascii="Calibri" w:hAnsi="Calibri"/>
        </w:rPr>
      </w:pPr>
      <w:r w:rsidRPr="000C732E">
        <w:rPr>
          <w:rFonts w:ascii="Calibri" w:hAnsi="Calibri"/>
        </w:rPr>
        <w:t>Lynecus Partners</w:t>
      </w:r>
    </w:p>
    <w:p w:rsidR="009E6D7A" w:rsidRPr="000C732E" w:rsidRDefault="009E6D7A" w:rsidP="009E6D7A">
      <w:pPr>
        <w:jc w:val="both"/>
        <w:rPr>
          <w:rFonts w:ascii="Calibri" w:hAnsi="Calibri"/>
        </w:rPr>
      </w:pPr>
      <w:r w:rsidRPr="000C732E">
        <w:rPr>
          <w:rFonts w:ascii="Calibri" w:hAnsi="Calibri"/>
        </w:rPr>
        <w:t>Merrion Stockbrokers</w:t>
      </w:r>
    </w:p>
    <w:p w:rsidR="009E6D7A" w:rsidRPr="000C732E" w:rsidRDefault="009E6D7A" w:rsidP="009E6D7A">
      <w:pPr>
        <w:jc w:val="both"/>
        <w:rPr>
          <w:rFonts w:ascii="Calibri" w:hAnsi="Calibri"/>
        </w:rPr>
      </w:pPr>
      <w:r w:rsidRPr="000C732E">
        <w:rPr>
          <w:rFonts w:ascii="Calibri" w:hAnsi="Calibri"/>
        </w:rPr>
        <w:t xml:space="preserve">Quilter Cheviot </w:t>
      </w:r>
    </w:p>
    <w:p w:rsidR="009E6D7A" w:rsidRPr="000C732E" w:rsidRDefault="009E6D7A" w:rsidP="009E6D7A">
      <w:pPr>
        <w:jc w:val="both"/>
        <w:rPr>
          <w:rFonts w:ascii="Calibri" w:hAnsi="Calibri"/>
        </w:rPr>
      </w:pPr>
    </w:p>
    <w:p w:rsidR="009E6D7A" w:rsidRPr="000C732E" w:rsidRDefault="009E6D7A" w:rsidP="009E6D7A">
      <w:pPr>
        <w:jc w:val="both"/>
        <w:rPr>
          <w:rFonts w:ascii="Calibri" w:hAnsi="Calibri"/>
          <w:b/>
          <w:u w:val="single"/>
        </w:rPr>
      </w:pPr>
      <w:r w:rsidRPr="000C732E">
        <w:rPr>
          <w:rFonts w:ascii="Calibri" w:hAnsi="Calibri"/>
          <w:b/>
          <w:u w:val="single"/>
        </w:rPr>
        <w:t>Life &amp; Pensions</w:t>
      </w:r>
    </w:p>
    <w:p w:rsidR="009E6D7A" w:rsidRPr="000C732E" w:rsidRDefault="009E6D7A" w:rsidP="009E6D7A">
      <w:pPr>
        <w:jc w:val="both"/>
        <w:rPr>
          <w:rFonts w:ascii="Calibri" w:hAnsi="Calibri"/>
        </w:rPr>
      </w:pPr>
      <w:r w:rsidRPr="000C732E">
        <w:rPr>
          <w:rFonts w:ascii="Calibri" w:hAnsi="Calibri"/>
        </w:rPr>
        <w:t>Appointments are held from the under-mentioned companies in respect of Life &amp; Pensions business:</w:t>
      </w:r>
    </w:p>
    <w:p w:rsidR="009E6D7A" w:rsidRPr="000C732E" w:rsidRDefault="009E6D7A" w:rsidP="009E6D7A">
      <w:pPr>
        <w:jc w:val="both"/>
        <w:rPr>
          <w:rFonts w:ascii="Calibri" w:hAnsi="Calibri"/>
        </w:rPr>
      </w:pPr>
      <w:r w:rsidRPr="000C732E">
        <w:rPr>
          <w:rFonts w:ascii="Calibri" w:hAnsi="Calibri"/>
        </w:rPr>
        <w:t>Allianz Global Life</w:t>
      </w:r>
    </w:p>
    <w:p w:rsidR="009E6D7A" w:rsidRPr="000C732E" w:rsidRDefault="009E6D7A" w:rsidP="009E6D7A">
      <w:pPr>
        <w:jc w:val="both"/>
        <w:rPr>
          <w:rFonts w:ascii="Calibri" w:hAnsi="Calibri"/>
        </w:rPr>
      </w:pPr>
      <w:r w:rsidRPr="000C732E">
        <w:rPr>
          <w:rFonts w:ascii="Calibri" w:hAnsi="Calibri"/>
        </w:rPr>
        <w:t>Standard Life</w:t>
      </w:r>
    </w:p>
    <w:p w:rsidR="009E6D7A" w:rsidRPr="000C732E" w:rsidRDefault="009E6D7A" w:rsidP="009E6D7A">
      <w:pPr>
        <w:jc w:val="both"/>
        <w:rPr>
          <w:rFonts w:ascii="Calibri" w:hAnsi="Calibri"/>
        </w:rPr>
      </w:pPr>
      <w:r w:rsidRPr="000C732E">
        <w:rPr>
          <w:rFonts w:ascii="Calibri" w:hAnsi="Calibri"/>
        </w:rPr>
        <w:t>New Ireland</w:t>
      </w:r>
    </w:p>
    <w:p w:rsidR="009E6D7A" w:rsidRPr="000C732E" w:rsidRDefault="009E6D7A" w:rsidP="009E6D7A">
      <w:pPr>
        <w:jc w:val="both"/>
        <w:rPr>
          <w:rFonts w:ascii="Calibri" w:hAnsi="Calibri"/>
        </w:rPr>
      </w:pPr>
      <w:r w:rsidRPr="000C732E">
        <w:rPr>
          <w:rFonts w:ascii="Calibri" w:hAnsi="Calibri"/>
        </w:rPr>
        <w:t>Aviva</w:t>
      </w:r>
    </w:p>
    <w:p w:rsidR="009E6D7A" w:rsidRPr="000C732E" w:rsidRDefault="009E6D7A" w:rsidP="009E6D7A">
      <w:pPr>
        <w:jc w:val="both"/>
        <w:rPr>
          <w:rFonts w:ascii="Calibri" w:hAnsi="Calibri"/>
        </w:rPr>
      </w:pPr>
      <w:r w:rsidRPr="000C732E">
        <w:rPr>
          <w:rFonts w:ascii="Calibri" w:hAnsi="Calibri"/>
        </w:rPr>
        <w:t>Zurich Life</w:t>
      </w:r>
    </w:p>
    <w:p w:rsidR="009E6D7A" w:rsidRPr="000C732E" w:rsidRDefault="009E6D7A" w:rsidP="009E6D7A">
      <w:pPr>
        <w:jc w:val="both"/>
        <w:rPr>
          <w:rFonts w:ascii="Calibri" w:hAnsi="Calibri"/>
        </w:rPr>
      </w:pPr>
      <w:r w:rsidRPr="000C732E">
        <w:rPr>
          <w:rFonts w:ascii="Calibri" w:hAnsi="Calibri"/>
        </w:rPr>
        <w:t>Irish Life</w:t>
      </w:r>
    </w:p>
    <w:p w:rsidR="009E6D7A" w:rsidRPr="000C732E" w:rsidRDefault="009E6D7A" w:rsidP="009E6D7A">
      <w:pPr>
        <w:jc w:val="both"/>
        <w:rPr>
          <w:rFonts w:ascii="Calibri" w:hAnsi="Calibri"/>
        </w:rPr>
      </w:pPr>
      <w:r w:rsidRPr="000C732E">
        <w:rPr>
          <w:rFonts w:ascii="Calibri" w:hAnsi="Calibri"/>
        </w:rPr>
        <w:t>Royal London</w:t>
      </w: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B67168" w:rsidRPr="000C732E" w:rsidRDefault="00B67168" w:rsidP="0042129B">
      <w:pPr>
        <w:autoSpaceDE w:val="0"/>
        <w:autoSpaceDN w:val="0"/>
        <w:adjustRightInd w:val="0"/>
        <w:spacing w:after="0" w:line="240" w:lineRule="auto"/>
        <w:rPr>
          <w:rFonts w:ascii="Calibri" w:hAnsi="Calibri" w:cs="Calibri"/>
        </w:rPr>
      </w:pPr>
    </w:p>
    <w:p w:rsidR="004B38F3" w:rsidRPr="000C732E" w:rsidRDefault="004B38F3" w:rsidP="0042129B">
      <w:pPr>
        <w:autoSpaceDE w:val="0"/>
        <w:autoSpaceDN w:val="0"/>
        <w:adjustRightInd w:val="0"/>
        <w:spacing w:after="0" w:line="240" w:lineRule="auto"/>
        <w:rPr>
          <w:rFonts w:ascii="Calibri" w:hAnsi="Calibri" w:cs="Calibri"/>
        </w:rPr>
      </w:pPr>
    </w:p>
    <w:p w:rsidR="004B38F3" w:rsidRPr="000C732E" w:rsidRDefault="004B38F3" w:rsidP="0042129B">
      <w:pPr>
        <w:autoSpaceDE w:val="0"/>
        <w:autoSpaceDN w:val="0"/>
        <w:adjustRightInd w:val="0"/>
        <w:spacing w:after="0" w:line="240" w:lineRule="auto"/>
        <w:rPr>
          <w:rFonts w:ascii="Calibri" w:hAnsi="Calibri" w:cs="Calibri"/>
        </w:rPr>
      </w:pPr>
    </w:p>
    <w:p w:rsidR="009E6D7A" w:rsidRPr="000C732E" w:rsidRDefault="009E6D7A"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9E6D7A" w:rsidRPr="000C732E" w:rsidRDefault="009E6D7A"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9E6D7A" w:rsidRPr="000C732E" w:rsidRDefault="009E6D7A"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9E6D7A" w:rsidRPr="000C732E" w:rsidRDefault="009E6D7A"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9E6D7A" w:rsidRPr="000C732E" w:rsidRDefault="009E6D7A"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623CCB" w:rsidRPr="000C732E" w:rsidRDefault="00623CCB"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623CCB" w:rsidRPr="000C732E" w:rsidRDefault="00623CCB"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8470FF" w:rsidRDefault="008470FF"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8470FF" w:rsidRDefault="008470FF"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8470FF" w:rsidRDefault="008470FF"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8470FF" w:rsidRDefault="008470FF"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8470FF" w:rsidRDefault="008470FF"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8470FF" w:rsidRDefault="008470FF"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4B38F3" w:rsidRPr="000C732E" w:rsidRDefault="004B38F3" w:rsidP="004B38F3">
      <w:pPr>
        <w:shd w:val="clear" w:color="auto" w:fill="FFFFFF"/>
        <w:spacing w:after="0" w:line="240" w:lineRule="auto"/>
        <w:outlineLvl w:val="2"/>
        <w:rPr>
          <w:rFonts w:ascii="Calibri" w:eastAsia="Times New Roman" w:hAnsi="Calibri" w:cs="Arial"/>
          <w:b/>
          <w:bCs/>
          <w:color w:val="1C2752"/>
          <w:spacing w:val="5"/>
          <w:szCs w:val="48"/>
          <w:lang w:eastAsia="en-IE"/>
        </w:rPr>
      </w:pPr>
      <w:r w:rsidRPr="000C732E">
        <w:rPr>
          <w:rFonts w:ascii="Calibri" w:eastAsia="Times New Roman" w:hAnsi="Calibri" w:cs="Arial"/>
          <w:b/>
          <w:bCs/>
          <w:color w:val="1C2752"/>
          <w:spacing w:val="5"/>
          <w:szCs w:val="48"/>
          <w:lang w:eastAsia="en-IE"/>
        </w:rPr>
        <w:t>Aviva Life &amp; Pensions Ireland DAC</w:t>
      </w:r>
    </w:p>
    <w:p w:rsidR="004B38F3" w:rsidRPr="000C732E" w:rsidRDefault="00FF7AA9" w:rsidP="004B38F3">
      <w:pPr>
        <w:shd w:val="clear" w:color="auto" w:fill="FFFFFF"/>
        <w:spacing w:after="0" w:line="240" w:lineRule="auto"/>
        <w:rPr>
          <w:rFonts w:ascii="Calibri" w:eastAsia="Times New Roman" w:hAnsi="Calibri" w:cs="Arial"/>
          <w:color w:val="7E7E7E"/>
          <w:spacing w:val="5"/>
          <w:szCs w:val="27"/>
          <w:lang w:eastAsia="en-IE"/>
        </w:rPr>
      </w:pPr>
      <w:r>
        <w:rPr>
          <w:rFonts w:ascii="Calibri" w:eastAsia="Times New Roman" w:hAnsi="Calibri" w:cs="Arial"/>
          <w:color w:val="7E7E7E"/>
          <w:spacing w:val="5"/>
          <w:szCs w:val="27"/>
          <w:lang w:eastAsia="en-IE"/>
        </w:rPr>
        <w:pict>
          <v:rect id="_x0000_i1025" style="width:0;height:0" o:hralign="center" o:hrstd="t" o:hr="t" fillcolor="#a0a0a0" stroked="f"/>
        </w:pict>
      </w:r>
    </w:p>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Term Life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Term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488"/>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Term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24</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Single Premium PRSA</w:t>
      </w:r>
    </w:p>
    <w:tbl>
      <w:tblPr>
        <w:tblW w:w="0" w:type="auto"/>
        <w:tblCellMar>
          <w:top w:w="15" w:type="dxa"/>
          <w:left w:w="15" w:type="dxa"/>
          <w:bottom w:w="450" w:type="dxa"/>
          <w:right w:w="15" w:type="dxa"/>
        </w:tblCellMar>
        <w:tblLook w:val="04A0" w:firstRow="1" w:lastRow="0" w:firstColumn="1" w:lastColumn="0" w:noHBand="0" w:noVBand="1"/>
      </w:tblPr>
      <w:tblGrid>
        <w:gridCol w:w="1939"/>
        <w:gridCol w:w="764"/>
        <w:gridCol w:w="1118"/>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Specified Illness</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Specified Illness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843"/>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Specified</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24</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Savings</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Savings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 clawback '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Savings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Pension Term</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Pension Term Assurance Product provides for an initial commission as outlined below. These policies have an inbuilt recurring commission structure to remunerate the Brokerage for </w:t>
      </w:r>
      <w:r w:rsidRPr="000C732E">
        <w:rPr>
          <w:rFonts w:ascii="Calibri" w:eastAsia="Times New Roman" w:hAnsi="Calibri" w:cs="Arial"/>
          <w:color w:val="7E7E7E"/>
          <w:spacing w:val="5"/>
          <w:szCs w:val="27"/>
          <w:lang w:eastAsia="en-IE"/>
        </w:rPr>
        <w:lastRenderedPageBreak/>
        <w:t>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56"/>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Pension Term</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24</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089"/>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4B38F3" w:rsidRPr="000C732E" w:rsidRDefault="004B38F3" w:rsidP="004B38F3">
      <w:pPr>
        <w:shd w:val="clear" w:color="auto" w:fill="FFFFFF"/>
        <w:spacing w:after="0"/>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Savings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Pension Term</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Pension Term Assurance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56"/>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Pension Term</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24</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lastRenderedPageBreak/>
        <w:t xml:space="preserve">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089"/>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PRB</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5.25%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Mortgage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Mortgage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895"/>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Mortgage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24</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Income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Income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684"/>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Income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lastRenderedPageBreak/>
        <w:t>Investment</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Investment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131"/>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Investments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5.25%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Life Protection</w:t>
      </w:r>
    </w:p>
    <w:tbl>
      <w:tblPr>
        <w:tblW w:w="0" w:type="auto"/>
        <w:tblCellMar>
          <w:top w:w="15" w:type="dxa"/>
          <w:left w:w="15" w:type="dxa"/>
          <w:bottom w:w="450" w:type="dxa"/>
          <w:right w:w="15" w:type="dxa"/>
        </w:tblCellMar>
        <w:tblLook w:val="04A0" w:firstRow="1" w:lastRow="0" w:firstColumn="1" w:lastColumn="0" w:noHBand="0" w:noVBand="1"/>
      </w:tblPr>
      <w:tblGrid>
        <w:gridCol w:w="962"/>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Life</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Income Protection</w:t>
      </w:r>
    </w:p>
    <w:tbl>
      <w:tblPr>
        <w:tblW w:w="0" w:type="auto"/>
        <w:tblCellMar>
          <w:top w:w="15" w:type="dxa"/>
          <w:left w:w="15" w:type="dxa"/>
          <w:bottom w:w="450" w:type="dxa"/>
          <w:right w:w="15" w:type="dxa"/>
        </w:tblCellMar>
        <w:tblLook w:val="04A0" w:firstRow="1" w:lastRow="0" w:firstColumn="1" w:lastColumn="0" w:noHBand="0" w:noVBand="1"/>
      </w:tblPr>
      <w:tblGrid>
        <w:gridCol w:w="812"/>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IP</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Defined Contribution Pension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Defined Contribution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3044"/>
        <w:gridCol w:w="745"/>
        <w:gridCol w:w="2164"/>
        <w:gridCol w:w="820"/>
        <w:gridCol w:w="2283"/>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Master Trust- Regular Contributions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r>
      <w:tr w:rsidR="004B38F3" w:rsidRPr="000C732E" w:rsidTr="004B38F3">
        <w:tc>
          <w:tcPr>
            <w:tcW w:w="0" w:type="auto"/>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Master Trust- Single Contribution</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pension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r w:rsidR="004B38F3" w:rsidRPr="000C732E" w:rsidTr="004B38F3">
        <w:tc>
          <w:tcPr>
            <w:tcW w:w="0" w:type="auto"/>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pension</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5.25%</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Approved Retirement Fund (ARF)</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lastRenderedPageBreak/>
        <w:t xml:space="preserve">An ARF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ARF</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5.25%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Annuity</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Annuity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bl>
    <w:p w:rsidR="00CB34F0" w:rsidRDefault="00CB34F0" w:rsidP="004B38F3">
      <w:pPr>
        <w:shd w:val="clear" w:color="auto" w:fill="FFFFFF"/>
        <w:spacing w:after="0" w:line="240" w:lineRule="auto"/>
        <w:outlineLvl w:val="2"/>
        <w:rPr>
          <w:rFonts w:ascii="Calibri" w:eastAsia="Times New Roman" w:hAnsi="Calibri" w:cs="Arial"/>
          <w:b/>
          <w:bCs/>
          <w:color w:val="1C2752"/>
          <w:spacing w:val="5"/>
          <w:szCs w:val="48"/>
          <w:lang w:eastAsia="en-IE"/>
        </w:rPr>
      </w:pPr>
    </w:p>
    <w:p w:rsidR="004B38F3" w:rsidRPr="000C732E" w:rsidRDefault="004B38F3" w:rsidP="004B38F3">
      <w:pPr>
        <w:shd w:val="clear" w:color="auto" w:fill="FFFFFF"/>
        <w:spacing w:after="0" w:line="240" w:lineRule="auto"/>
        <w:outlineLvl w:val="2"/>
        <w:rPr>
          <w:rFonts w:ascii="Calibri" w:eastAsia="Times New Roman" w:hAnsi="Calibri" w:cs="Arial"/>
          <w:b/>
          <w:bCs/>
          <w:color w:val="1C2752"/>
          <w:spacing w:val="5"/>
          <w:szCs w:val="48"/>
          <w:lang w:eastAsia="en-IE"/>
        </w:rPr>
      </w:pPr>
      <w:r w:rsidRPr="000C732E">
        <w:rPr>
          <w:rFonts w:ascii="Calibri" w:eastAsia="Times New Roman" w:hAnsi="Calibri" w:cs="Arial"/>
          <w:b/>
          <w:bCs/>
          <w:color w:val="1C2752"/>
          <w:spacing w:val="5"/>
          <w:szCs w:val="48"/>
          <w:lang w:eastAsia="en-IE"/>
        </w:rPr>
        <w:t xml:space="preserve">Irish Life Assurance </w:t>
      </w:r>
      <w:r w:rsidR="00FF7AA9" w:rsidRPr="000C732E">
        <w:rPr>
          <w:rFonts w:ascii="Calibri" w:eastAsia="Times New Roman" w:hAnsi="Calibri" w:cs="Arial"/>
          <w:b/>
          <w:bCs/>
          <w:color w:val="1C2752"/>
          <w:spacing w:val="5"/>
          <w:szCs w:val="48"/>
          <w:lang w:eastAsia="en-IE"/>
        </w:rPr>
        <w:t>plc.</w:t>
      </w:r>
    </w:p>
    <w:p w:rsidR="004B38F3" w:rsidRPr="000C732E" w:rsidRDefault="00FF7AA9" w:rsidP="004B38F3">
      <w:pPr>
        <w:spacing w:after="0" w:line="240" w:lineRule="auto"/>
        <w:rPr>
          <w:rFonts w:ascii="Calibri" w:eastAsia="Times New Roman" w:hAnsi="Calibri" w:cs="Times New Roman"/>
          <w:szCs w:val="24"/>
          <w:lang w:eastAsia="en-IE"/>
        </w:rPr>
      </w:pPr>
      <w:r>
        <w:rPr>
          <w:rFonts w:ascii="Calibri" w:eastAsia="Times New Roman" w:hAnsi="Calibri" w:cs="Times New Roman"/>
          <w:szCs w:val="24"/>
          <w:lang w:eastAsia="en-IE"/>
        </w:rPr>
        <w:pict>
          <v:rect id="_x0000_i1030" style="width:0;height:0" o:hralign="center" o:hrstd="t" o:hr="t" fillcolor="#a0a0a0" stroked="f"/>
        </w:pict>
      </w:r>
    </w:p>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Whole of Life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Whole of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20"/>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Whole of Life</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28%</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Term Life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Term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488"/>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Term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160%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28%</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lastRenderedPageBreak/>
        <w:t>Single Premium PRSA</w:t>
      </w:r>
    </w:p>
    <w:tbl>
      <w:tblPr>
        <w:tblW w:w="0" w:type="auto"/>
        <w:tblCellMar>
          <w:top w:w="15" w:type="dxa"/>
          <w:left w:w="15" w:type="dxa"/>
          <w:bottom w:w="450" w:type="dxa"/>
          <w:right w:w="15" w:type="dxa"/>
        </w:tblCellMar>
        <w:tblLook w:val="04A0" w:firstRow="1" w:lastRow="0" w:firstColumn="1" w:lastColumn="0" w:noHBand="0" w:noVBand="1"/>
      </w:tblPr>
      <w:tblGrid>
        <w:gridCol w:w="1939"/>
        <w:gridCol w:w="764"/>
        <w:gridCol w:w="1118"/>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0.75%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Specified Illness</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Specified Illness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843"/>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Specified</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28%</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Savings</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Savings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 clawback '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82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Savings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Pension Term</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Pension Term Assurance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56"/>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Pension Term</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160%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w:t>
      </w:r>
      <w:r w:rsidRPr="000C732E">
        <w:rPr>
          <w:rFonts w:ascii="Calibri" w:eastAsia="Times New Roman" w:hAnsi="Calibri" w:cs="Arial"/>
          <w:color w:val="7E7E7E"/>
          <w:spacing w:val="5"/>
          <w:szCs w:val="27"/>
          <w:lang w:eastAsia="en-IE"/>
        </w:rPr>
        <w:lastRenderedPageBreak/>
        <w:t xml:space="preserve">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089"/>
        <w:gridCol w:w="764"/>
        <w:gridCol w:w="2280"/>
        <w:gridCol w:w="82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17.5%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PRB</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0.75%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Mortgage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Mortgage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895"/>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Mortgage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160%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28%</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Income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Income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684"/>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Income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Investment</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Investment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w:t>
      </w:r>
      <w:r w:rsidRPr="000C732E">
        <w:rPr>
          <w:rFonts w:ascii="Calibri" w:eastAsia="Times New Roman" w:hAnsi="Calibri" w:cs="Arial"/>
          <w:color w:val="7E7E7E"/>
          <w:spacing w:val="5"/>
          <w:szCs w:val="27"/>
          <w:lang w:eastAsia="en-IE"/>
        </w:rPr>
        <w:lastRenderedPageBreak/>
        <w:t xml:space="preserve">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131"/>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Investments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Life Protection</w:t>
      </w:r>
    </w:p>
    <w:tbl>
      <w:tblPr>
        <w:tblW w:w="0" w:type="auto"/>
        <w:tblCellMar>
          <w:top w:w="15" w:type="dxa"/>
          <w:left w:w="15" w:type="dxa"/>
          <w:bottom w:w="450" w:type="dxa"/>
          <w:right w:w="15" w:type="dxa"/>
        </w:tblCellMar>
        <w:tblLook w:val="04A0" w:firstRow="1" w:lastRow="0" w:firstColumn="1" w:lastColumn="0" w:noHBand="0" w:noVBand="1"/>
      </w:tblPr>
      <w:tblGrid>
        <w:gridCol w:w="962"/>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Life</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Income Protection</w:t>
      </w:r>
    </w:p>
    <w:tbl>
      <w:tblPr>
        <w:tblW w:w="0" w:type="auto"/>
        <w:tblCellMar>
          <w:top w:w="15" w:type="dxa"/>
          <w:left w:w="15" w:type="dxa"/>
          <w:bottom w:w="450" w:type="dxa"/>
          <w:right w:w="15" w:type="dxa"/>
        </w:tblCellMar>
        <w:tblLook w:val="04A0" w:firstRow="1" w:lastRow="0" w:firstColumn="1" w:lastColumn="0" w:noHBand="0" w:noVBand="1"/>
      </w:tblPr>
      <w:tblGrid>
        <w:gridCol w:w="812"/>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IP</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Defined Contribution Pension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Defined Contribution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337"/>
        <w:gridCol w:w="764"/>
        <w:gridCol w:w="2280"/>
        <w:gridCol w:w="82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pension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17.5%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r w:rsidR="004B38F3" w:rsidRPr="000C732E" w:rsidTr="004B38F3">
        <w:tc>
          <w:tcPr>
            <w:tcW w:w="0" w:type="auto"/>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pension</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0.75%</w:t>
            </w:r>
          </w:p>
        </w:tc>
        <w:tc>
          <w:tcPr>
            <w:tcW w:w="0" w:type="auto"/>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Approved Retirement Fund (ARF)</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ARF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ARF</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0.75%</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lastRenderedPageBreak/>
        <w:t>Annuity</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Annuity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Ind w:w="-411" w:type="dxa"/>
        <w:tblCellMar>
          <w:top w:w="15" w:type="dxa"/>
          <w:left w:w="15" w:type="dxa"/>
          <w:bottom w:w="450" w:type="dxa"/>
          <w:right w:w="15" w:type="dxa"/>
        </w:tblCellMar>
        <w:tblLook w:val="04A0" w:firstRow="1" w:lastRow="0" w:firstColumn="1" w:lastColumn="0" w:noHBand="0" w:noVBand="1"/>
      </w:tblPr>
      <w:tblGrid>
        <w:gridCol w:w="411"/>
        <w:gridCol w:w="749"/>
        <w:gridCol w:w="764"/>
      </w:tblGrid>
      <w:tr w:rsidR="004B38F3" w:rsidRPr="000C732E" w:rsidTr="00DF7E04">
        <w:tc>
          <w:tcPr>
            <w:tcW w:w="1160" w:type="dxa"/>
            <w:gridSpan w:val="2"/>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r w:rsidR="004B38F3" w:rsidRPr="000C732E" w:rsidTr="00DF7E04">
        <w:tc>
          <w:tcPr>
            <w:tcW w:w="1160" w:type="dxa"/>
            <w:gridSpan w:val="2"/>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Annuity</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w:t>
            </w:r>
          </w:p>
        </w:tc>
      </w:tr>
      <w:tr w:rsidR="00DF7E04" w:rsidRPr="000C732E" w:rsidTr="00DF7E04">
        <w:tc>
          <w:tcPr>
            <w:tcW w:w="1160" w:type="dxa"/>
            <w:gridSpan w:val="2"/>
            <w:shd w:val="clear" w:color="auto" w:fill="F0F0F0"/>
            <w:tcMar>
              <w:top w:w="120" w:type="dxa"/>
              <w:left w:w="15" w:type="dxa"/>
              <w:bottom w:w="450" w:type="dxa"/>
              <w:right w:w="15" w:type="dxa"/>
            </w:tcMar>
            <w:vAlign w:val="center"/>
          </w:tcPr>
          <w:p w:rsidR="00DF7E04" w:rsidRDefault="00DF7E04" w:rsidP="004B38F3">
            <w:pPr>
              <w:spacing w:after="0" w:line="240" w:lineRule="auto"/>
              <w:rPr>
                <w:rFonts w:ascii="Calibri" w:eastAsia="Times New Roman" w:hAnsi="Calibri" w:cs="Times New Roman"/>
                <w:szCs w:val="24"/>
                <w:lang w:eastAsia="en-IE"/>
              </w:rPr>
            </w:pPr>
          </w:p>
          <w:p w:rsidR="00DF7E04" w:rsidRDefault="00DF7E04" w:rsidP="004B38F3">
            <w:pPr>
              <w:spacing w:after="0" w:line="240" w:lineRule="auto"/>
              <w:rPr>
                <w:rFonts w:ascii="Calibri" w:eastAsia="Times New Roman" w:hAnsi="Calibri" w:cs="Times New Roman"/>
                <w:szCs w:val="24"/>
                <w:lang w:eastAsia="en-IE"/>
              </w:rPr>
            </w:pPr>
          </w:p>
          <w:p w:rsidR="00DF7E04" w:rsidRPr="000C732E" w:rsidRDefault="00DF7E04" w:rsidP="004B38F3">
            <w:pPr>
              <w:spacing w:after="0" w:line="240" w:lineRule="auto"/>
              <w:rPr>
                <w:rFonts w:ascii="Calibri" w:eastAsia="Times New Roman" w:hAnsi="Calibri" w:cs="Times New Roman"/>
                <w:szCs w:val="24"/>
                <w:lang w:eastAsia="en-IE"/>
              </w:rPr>
            </w:pPr>
          </w:p>
        </w:tc>
        <w:tc>
          <w:tcPr>
            <w:tcW w:w="0" w:type="auto"/>
            <w:shd w:val="clear" w:color="auto" w:fill="F0F0F0"/>
            <w:tcMar>
              <w:top w:w="15" w:type="dxa"/>
              <w:left w:w="15" w:type="dxa"/>
              <w:bottom w:w="120" w:type="dxa"/>
              <w:right w:w="15" w:type="dxa"/>
            </w:tcMar>
            <w:vAlign w:val="center"/>
          </w:tcPr>
          <w:p w:rsidR="00DF7E04" w:rsidRPr="000C732E" w:rsidRDefault="00DF7E04" w:rsidP="004B38F3">
            <w:pPr>
              <w:spacing w:after="0" w:line="240" w:lineRule="auto"/>
              <w:jc w:val="center"/>
              <w:rPr>
                <w:rFonts w:ascii="Calibri" w:eastAsia="Times New Roman" w:hAnsi="Calibri" w:cs="Times New Roman"/>
                <w:szCs w:val="24"/>
                <w:lang w:eastAsia="en-IE"/>
              </w:rPr>
            </w:pPr>
          </w:p>
        </w:tc>
      </w:tr>
      <w:tr w:rsidR="004B38F3" w:rsidRPr="000C732E" w:rsidTr="00DF7E04">
        <w:tc>
          <w:tcPr>
            <w:tcW w:w="1160" w:type="dxa"/>
            <w:gridSpan w:val="2"/>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p>
        </w:tc>
        <w:tc>
          <w:tcPr>
            <w:tcW w:w="0" w:type="auto"/>
            <w:tcMar>
              <w:top w:w="15" w:type="dxa"/>
              <w:left w:w="15" w:type="dxa"/>
              <w:bottom w:w="120" w:type="dxa"/>
              <w:right w:w="15" w:type="dxa"/>
            </w:tcMar>
            <w:vAlign w:val="center"/>
          </w:tcPr>
          <w:p w:rsidR="004B38F3" w:rsidRPr="000C732E" w:rsidRDefault="004B38F3" w:rsidP="004B38F3">
            <w:pPr>
              <w:spacing w:after="0" w:line="240" w:lineRule="auto"/>
              <w:jc w:val="center"/>
              <w:rPr>
                <w:rFonts w:ascii="Calibri" w:eastAsia="Times New Roman" w:hAnsi="Calibri" w:cs="Times New Roman"/>
                <w:szCs w:val="24"/>
                <w:lang w:eastAsia="en-IE"/>
              </w:rPr>
            </w:pPr>
          </w:p>
        </w:tc>
      </w:tr>
      <w:tr w:rsidR="004B38F3" w:rsidRPr="000C732E" w:rsidTr="00DF7E04">
        <w:trPr>
          <w:gridBefore w:val="1"/>
          <w:wBefore w:w="411" w:type="dxa"/>
        </w:trPr>
        <w:tc>
          <w:tcPr>
            <w:tcW w:w="0" w:type="auto"/>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p>
        </w:tc>
        <w:tc>
          <w:tcPr>
            <w:tcW w:w="0" w:type="auto"/>
            <w:tcMar>
              <w:top w:w="15" w:type="dxa"/>
              <w:left w:w="15" w:type="dxa"/>
              <w:bottom w:w="120" w:type="dxa"/>
              <w:right w:w="15" w:type="dxa"/>
            </w:tcMar>
            <w:vAlign w:val="center"/>
            <w:hideMark/>
          </w:tcPr>
          <w:p w:rsidR="004B38F3" w:rsidRPr="000C732E" w:rsidRDefault="004B38F3" w:rsidP="00DF7E04">
            <w:pPr>
              <w:spacing w:after="0" w:line="240" w:lineRule="auto"/>
              <w:jc w:val="center"/>
              <w:rPr>
                <w:rFonts w:ascii="Calibri" w:eastAsia="Times New Roman" w:hAnsi="Calibri" w:cs="Times New Roman"/>
                <w:szCs w:val="24"/>
                <w:lang w:eastAsia="en-IE"/>
              </w:rPr>
            </w:pPr>
          </w:p>
        </w:tc>
      </w:tr>
    </w:tbl>
    <w:p w:rsidR="004B38F3" w:rsidRPr="000C732E" w:rsidRDefault="004B38F3" w:rsidP="004B38F3">
      <w:pPr>
        <w:shd w:val="clear" w:color="auto" w:fill="FFFFFF"/>
        <w:spacing w:after="0" w:line="240" w:lineRule="auto"/>
        <w:outlineLvl w:val="2"/>
        <w:rPr>
          <w:rFonts w:ascii="Calibri" w:eastAsia="Times New Roman" w:hAnsi="Calibri" w:cs="Arial"/>
          <w:b/>
          <w:bCs/>
          <w:color w:val="1C2752"/>
          <w:spacing w:val="5"/>
          <w:szCs w:val="48"/>
          <w:lang w:eastAsia="en-IE"/>
        </w:rPr>
      </w:pPr>
      <w:r w:rsidRPr="000C732E">
        <w:rPr>
          <w:rFonts w:ascii="Calibri" w:eastAsia="Times New Roman" w:hAnsi="Calibri" w:cs="Arial"/>
          <w:b/>
          <w:bCs/>
          <w:color w:val="1C2752"/>
          <w:spacing w:val="5"/>
          <w:szCs w:val="48"/>
          <w:lang w:eastAsia="en-IE"/>
        </w:rPr>
        <w:t>New Ireland Assurance Company plc</w:t>
      </w:r>
    </w:p>
    <w:p w:rsidR="004B38F3" w:rsidRPr="000C732E" w:rsidRDefault="00FF7AA9" w:rsidP="004B38F3">
      <w:pPr>
        <w:spacing w:after="0" w:line="240" w:lineRule="auto"/>
        <w:rPr>
          <w:rFonts w:ascii="Calibri" w:eastAsia="Times New Roman" w:hAnsi="Calibri" w:cs="Times New Roman"/>
          <w:szCs w:val="24"/>
          <w:lang w:eastAsia="en-IE"/>
        </w:rPr>
      </w:pPr>
      <w:r>
        <w:rPr>
          <w:rFonts w:ascii="Calibri" w:eastAsia="Times New Roman" w:hAnsi="Calibri" w:cs="Times New Roman"/>
          <w:szCs w:val="24"/>
          <w:lang w:eastAsia="en-IE"/>
        </w:rPr>
        <w:pict>
          <v:rect id="_x0000_i1033" style="width:0;height:0" o:hralign="center" o:hrstd="t" o:hr="t" fillcolor="#a0a0a0" stroked="f"/>
        </w:pict>
      </w:r>
    </w:p>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Term Life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Term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488"/>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Term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Single Premium PRSA</w:t>
      </w:r>
    </w:p>
    <w:tbl>
      <w:tblPr>
        <w:tblW w:w="0" w:type="auto"/>
        <w:tblCellMar>
          <w:top w:w="15" w:type="dxa"/>
          <w:left w:w="15" w:type="dxa"/>
          <w:bottom w:w="450" w:type="dxa"/>
          <w:right w:w="15" w:type="dxa"/>
        </w:tblCellMar>
        <w:tblLook w:val="04A0" w:firstRow="1" w:lastRow="0" w:firstColumn="1" w:lastColumn="0" w:noHBand="0" w:noVBand="1"/>
      </w:tblPr>
      <w:tblGrid>
        <w:gridCol w:w="1939"/>
        <w:gridCol w:w="764"/>
        <w:gridCol w:w="1118"/>
        <w:gridCol w:w="1544"/>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Specified Illness</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Specified Illness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843"/>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lastRenderedPageBreak/>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Specified</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Savings</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Savings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 clawback '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82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Savings</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2.5%</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Pension Term</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Pension Term Assurance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56"/>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Pension Term</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089"/>
        <w:gridCol w:w="764"/>
        <w:gridCol w:w="2280"/>
        <w:gridCol w:w="82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PRSA</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w:t>
      </w:r>
      <w:r w:rsidRPr="000C732E">
        <w:rPr>
          <w:rFonts w:ascii="Calibri" w:eastAsia="Times New Roman" w:hAnsi="Calibri" w:cs="Arial"/>
          <w:color w:val="7E7E7E"/>
          <w:spacing w:val="5"/>
          <w:szCs w:val="27"/>
          <w:lang w:eastAsia="en-IE"/>
        </w:rPr>
        <w:lastRenderedPageBreak/>
        <w:t xml:space="preserve">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PRB</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Mortgage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Mortgage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895"/>
        <w:gridCol w:w="764"/>
        <w:gridCol w:w="2280"/>
        <w:gridCol w:w="2441"/>
      </w:tblGrid>
      <w:tr w:rsidR="004B38F3" w:rsidRPr="000C732E" w:rsidTr="004B38F3">
        <w:tc>
          <w:tcPr>
            <w:tcW w:w="0" w:type="auto"/>
            <w:shd w:val="clear" w:color="auto" w:fill="828282"/>
            <w:vAlign w:val="center"/>
            <w:hideMark/>
          </w:tcPr>
          <w:p w:rsidR="004B38F3" w:rsidRPr="000C732E" w:rsidRDefault="004B38F3" w:rsidP="004B38F3">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4B38F3" w:rsidRPr="000C732E" w:rsidTr="004B38F3">
        <w:tc>
          <w:tcPr>
            <w:tcW w:w="0" w:type="auto"/>
            <w:shd w:val="clear" w:color="auto" w:fill="F0F0F0"/>
            <w:tcMar>
              <w:top w:w="120" w:type="dxa"/>
              <w:left w:w="15" w:type="dxa"/>
              <w:bottom w:w="450" w:type="dxa"/>
              <w:right w:w="15" w:type="dxa"/>
            </w:tcMar>
            <w:vAlign w:val="center"/>
            <w:hideMark/>
          </w:tcPr>
          <w:p w:rsidR="004B38F3" w:rsidRPr="000C732E" w:rsidRDefault="004B38F3" w:rsidP="004B38F3">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Mortgage Protection</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50%</w:t>
            </w:r>
          </w:p>
        </w:tc>
        <w:tc>
          <w:tcPr>
            <w:tcW w:w="0" w:type="auto"/>
            <w:shd w:val="clear" w:color="auto" w:fill="F0F0F0"/>
            <w:tcMar>
              <w:top w:w="15" w:type="dxa"/>
              <w:left w:w="15" w:type="dxa"/>
              <w:bottom w:w="120" w:type="dxa"/>
              <w:right w:w="15" w:type="dxa"/>
            </w:tcMar>
            <w:vAlign w:val="center"/>
            <w:hideMark/>
          </w:tcPr>
          <w:p w:rsidR="004B38F3" w:rsidRPr="000C732E" w:rsidRDefault="004B38F3" w:rsidP="004B38F3">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4B38F3" w:rsidRPr="000C732E" w:rsidRDefault="004B38F3" w:rsidP="004B38F3">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Income Protection</w:t>
      </w:r>
    </w:p>
    <w:p w:rsidR="004B38F3" w:rsidRPr="000C732E" w:rsidRDefault="004B38F3" w:rsidP="004B38F3">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Income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36"/>
        <w:gridCol w:w="36"/>
        <w:gridCol w:w="36"/>
        <w:gridCol w:w="36"/>
      </w:tblGrid>
      <w:tr w:rsidR="004B38F3" w:rsidRPr="000C732E" w:rsidTr="00303812">
        <w:tc>
          <w:tcPr>
            <w:tcW w:w="0" w:type="auto"/>
            <w:shd w:val="clear" w:color="auto" w:fill="828282"/>
            <w:vAlign w:val="center"/>
          </w:tcPr>
          <w:p w:rsidR="004B38F3" w:rsidRPr="000C732E" w:rsidRDefault="004B38F3" w:rsidP="004B38F3">
            <w:pPr>
              <w:spacing w:after="0" w:line="240" w:lineRule="auto"/>
              <w:rPr>
                <w:rFonts w:ascii="Calibri" w:eastAsia="Times New Roman" w:hAnsi="Calibri" w:cs="Times New Roman"/>
                <w:b/>
                <w:bCs/>
                <w:color w:val="FFFFFF"/>
                <w:szCs w:val="24"/>
                <w:lang w:eastAsia="en-IE"/>
              </w:rPr>
            </w:pPr>
          </w:p>
        </w:tc>
        <w:tc>
          <w:tcPr>
            <w:tcW w:w="0" w:type="auto"/>
            <w:shd w:val="clear" w:color="auto" w:fill="828282"/>
            <w:vAlign w:val="center"/>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p>
        </w:tc>
        <w:tc>
          <w:tcPr>
            <w:tcW w:w="0" w:type="auto"/>
            <w:shd w:val="clear" w:color="auto" w:fill="828282"/>
            <w:vAlign w:val="center"/>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p>
        </w:tc>
        <w:tc>
          <w:tcPr>
            <w:tcW w:w="0" w:type="auto"/>
            <w:shd w:val="clear" w:color="auto" w:fill="828282"/>
            <w:vAlign w:val="center"/>
          </w:tcPr>
          <w:p w:rsidR="004B38F3" w:rsidRPr="000C732E" w:rsidRDefault="004B38F3" w:rsidP="004B38F3">
            <w:pPr>
              <w:spacing w:after="0" w:line="240" w:lineRule="auto"/>
              <w:jc w:val="center"/>
              <w:rPr>
                <w:rFonts w:ascii="Calibri" w:eastAsia="Times New Roman" w:hAnsi="Calibri" w:cs="Times New Roman"/>
                <w:b/>
                <w:bCs/>
                <w:color w:val="FFFFFF"/>
                <w:szCs w:val="24"/>
                <w:lang w:eastAsia="en-IE"/>
              </w:rPr>
            </w:pPr>
          </w:p>
        </w:tc>
      </w:tr>
    </w:tbl>
    <w:p w:rsidR="004B38F3" w:rsidRPr="000C732E" w:rsidRDefault="004B38F3" w:rsidP="0042129B">
      <w:pPr>
        <w:autoSpaceDE w:val="0"/>
        <w:autoSpaceDN w:val="0"/>
        <w:adjustRightInd w:val="0"/>
        <w:spacing w:after="0" w:line="240" w:lineRule="auto"/>
        <w:rPr>
          <w:rFonts w:ascii="Calibri" w:hAnsi="Calibri" w:cs="Calibri"/>
        </w:rPr>
      </w:pPr>
    </w:p>
    <w:tbl>
      <w:tblPr>
        <w:tblW w:w="0" w:type="auto"/>
        <w:tblCellMar>
          <w:top w:w="15" w:type="dxa"/>
          <w:left w:w="15" w:type="dxa"/>
          <w:bottom w:w="450" w:type="dxa"/>
          <w:right w:w="15" w:type="dxa"/>
        </w:tblCellMar>
        <w:tblLook w:val="04A0" w:firstRow="1" w:lastRow="0" w:firstColumn="1" w:lastColumn="0" w:noHBand="0" w:noVBand="1"/>
      </w:tblPr>
      <w:tblGrid>
        <w:gridCol w:w="1684"/>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Income Protection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50%</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Investment</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Investment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3534"/>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Investments</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36</w:t>
            </w:r>
          </w:p>
        </w:tc>
      </w:tr>
      <w:tr w:rsidR="00303812" w:rsidRPr="000C732E" w:rsidTr="00FF7AA9">
        <w:tc>
          <w:tcPr>
            <w:tcW w:w="0" w:type="auto"/>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lastRenderedPageBreak/>
              <w:t>Regular Contribution Investment Policy</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Contribution PRSA</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r w:rsidR="00303812" w:rsidRPr="000C732E" w:rsidTr="00FF7AA9">
        <w:tc>
          <w:tcPr>
            <w:tcW w:w="0" w:type="auto"/>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Contribution Pensions</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25%</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Life Protection</w:t>
      </w:r>
    </w:p>
    <w:tbl>
      <w:tblPr>
        <w:tblW w:w="0" w:type="auto"/>
        <w:tblCellMar>
          <w:top w:w="15" w:type="dxa"/>
          <w:left w:w="15" w:type="dxa"/>
          <w:bottom w:w="450" w:type="dxa"/>
          <w:right w:w="15" w:type="dxa"/>
        </w:tblCellMar>
        <w:tblLook w:val="04A0" w:firstRow="1" w:lastRow="0" w:firstColumn="1" w:lastColumn="0" w:noHBand="0" w:noVBand="1"/>
      </w:tblPr>
      <w:tblGrid>
        <w:gridCol w:w="962"/>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Life</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Income Protection</w:t>
      </w:r>
    </w:p>
    <w:tbl>
      <w:tblPr>
        <w:tblW w:w="0" w:type="auto"/>
        <w:tblCellMar>
          <w:top w:w="15" w:type="dxa"/>
          <w:left w:w="15" w:type="dxa"/>
          <w:bottom w:w="450" w:type="dxa"/>
          <w:right w:w="15" w:type="dxa"/>
        </w:tblCellMar>
        <w:tblLook w:val="04A0" w:firstRow="1" w:lastRow="0" w:firstColumn="1" w:lastColumn="0" w:noHBand="0" w:noVBand="1"/>
      </w:tblPr>
      <w:tblGrid>
        <w:gridCol w:w="812"/>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IP</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Defined Contribution Pension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Defined Contribution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337"/>
        <w:gridCol w:w="764"/>
        <w:gridCol w:w="2280"/>
        <w:gridCol w:w="82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pension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8%</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r w:rsidR="00303812" w:rsidRPr="000C732E" w:rsidTr="00FF7AA9">
        <w:tc>
          <w:tcPr>
            <w:tcW w:w="0" w:type="auto"/>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pension</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Approved Retirement Fund (ARF)</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ARF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lastRenderedPageBreak/>
              <w:t>ARF</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Annuity</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Annuity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Annuity</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w:t>
            </w:r>
          </w:p>
        </w:tc>
      </w:tr>
    </w:tbl>
    <w:p w:rsidR="00303812" w:rsidRPr="000C732E" w:rsidRDefault="00303812" w:rsidP="00303812">
      <w:pPr>
        <w:shd w:val="clear" w:color="auto" w:fill="FFFFFF"/>
        <w:spacing w:after="0" w:line="240" w:lineRule="auto"/>
        <w:outlineLvl w:val="2"/>
        <w:rPr>
          <w:rFonts w:ascii="Calibri" w:eastAsia="Times New Roman" w:hAnsi="Calibri" w:cs="Arial"/>
          <w:b/>
          <w:bCs/>
          <w:color w:val="1C2752"/>
          <w:spacing w:val="5"/>
          <w:szCs w:val="48"/>
          <w:lang w:eastAsia="en-IE"/>
        </w:rPr>
      </w:pPr>
      <w:r w:rsidRPr="000C732E">
        <w:rPr>
          <w:rFonts w:ascii="Calibri" w:eastAsia="Times New Roman" w:hAnsi="Calibri" w:cs="Arial"/>
          <w:b/>
          <w:bCs/>
          <w:color w:val="1C2752"/>
          <w:spacing w:val="5"/>
          <w:szCs w:val="48"/>
          <w:lang w:eastAsia="en-IE"/>
        </w:rPr>
        <w:t>Royal London Insurance DAC</w:t>
      </w:r>
    </w:p>
    <w:p w:rsidR="00303812" w:rsidRPr="000C732E" w:rsidRDefault="00FF7AA9" w:rsidP="00303812">
      <w:pPr>
        <w:spacing w:after="0" w:line="240" w:lineRule="auto"/>
        <w:rPr>
          <w:rFonts w:ascii="Calibri" w:eastAsia="Times New Roman" w:hAnsi="Calibri" w:cs="Times New Roman"/>
          <w:szCs w:val="24"/>
          <w:lang w:eastAsia="en-IE"/>
        </w:rPr>
      </w:pPr>
      <w:r>
        <w:rPr>
          <w:rFonts w:ascii="Calibri" w:eastAsia="Times New Roman" w:hAnsi="Calibri" w:cs="Times New Roman"/>
          <w:szCs w:val="24"/>
          <w:lang w:eastAsia="en-IE"/>
        </w:rPr>
        <w:pict>
          <v:rect id="_x0000_i1035" style="width:0;height:0" o:hralign="center" o:hrstd="t" o:hr="t" fillcolor="#a0a0a0" stroked="f"/>
        </w:pict>
      </w:r>
    </w:p>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Whole of Life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Whole of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20"/>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Whole of Life</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36%</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Term Life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Term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488"/>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Term Protection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36%</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Specified Illness</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Specified Illness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843"/>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lastRenderedPageBreak/>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Specified</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36%</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Pension Term</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Pension Term Assurance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56"/>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Pension Term</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36%</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82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PRSA</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384"/>
        <w:gridCol w:w="764"/>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Personal Retirement Bond</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Mortgage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Mortgage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w:t>
      </w:r>
      <w:r w:rsidRPr="000C732E">
        <w:rPr>
          <w:rFonts w:ascii="Calibri" w:eastAsia="Times New Roman" w:hAnsi="Calibri" w:cs="Arial"/>
          <w:color w:val="7E7E7E"/>
          <w:spacing w:val="5"/>
          <w:szCs w:val="27"/>
          <w:lang w:eastAsia="en-IE"/>
        </w:rPr>
        <w:lastRenderedPageBreak/>
        <w:t xml:space="preserve">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895"/>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Mortgage Protection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36%</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Income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Income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684"/>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Income Protection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Approved Retirement Fund (ARF)</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ARF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ARF</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r>
    </w:tbl>
    <w:p w:rsidR="00303812" w:rsidRPr="000C732E" w:rsidRDefault="00303812" w:rsidP="00303812">
      <w:pPr>
        <w:shd w:val="clear" w:color="auto" w:fill="FFFFFF"/>
        <w:spacing w:after="0" w:line="240" w:lineRule="auto"/>
        <w:outlineLvl w:val="2"/>
        <w:rPr>
          <w:rFonts w:ascii="Calibri" w:eastAsia="Times New Roman" w:hAnsi="Calibri" w:cs="Arial"/>
          <w:b/>
          <w:bCs/>
          <w:color w:val="1C2752"/>
          <w:spacing w:val="5"/>
          <w:szCs w:val="48"/>
          <w:lang w:eastAsia="en-IE"/>
        </w:rPr>
      </w:pPr>
      <w:r w:rsidRPr="000C732E">
        <w:rPr>
          <w:rFonts w:ascii="Calibri" w:eastAsia="Times New Roman" w:hAnsi="Calibri" w:cs="Arial"/>
          <w:b/>
          <w:bCs/>
          <w:color w:val="1C2752"/>
          <w:spacing w:val="5"/>
          <w:szCs w:val="48"/>
          <w:lang w:eastAsia="en-IE"/>
        </w:rPr>
        <w:t>Standard Life International dac</w:t>
      </w:r>
    </w:p>
    <w:p w:rsidR="00303812" w:rsidRPr="000C732E" w:rsidRDefault="00FF7AA9" w:rsidP="00303812">
      <w:pPr>
        <w:spacing w:after="0" w:line="240" w:lineRule="auto"/>
        <w:rPr>
          <w:rFonts w:ascii="Calibri" w:eastAsia="Times New Roman" w:hAnsi="Calibri" w:cs="Times New Roman"/>
          <w:szCs w:val="24"/>
          <w:lang w:eastAsia="en-IE"/>
        </w:rPr>
      </w:pPr>
      <w:r>
        <w:rPr>
          <w:rFonts w:ascii="Calibri" w:eastAsia="Times New Roman" w:hAnsi="Calibri" w:cs="Times New Roman"/>
          <w:szCs w:val="24"/>
          <w:lang w:eastAsia="en-IE"/>
        </w:rPr>
        <w:pict>
          <v:rect id="_x0000_i1036" style="width:0;height:0" o:hralign="center" o:hrstd="t" o:hr="t" fillcolor="#a0a0a0" stroked="f"/>
        </w:pict>
      </w:r>
    </w:p>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Single Premium PRSA</w:t>
      </w:r>
    </w:p>
    <w:tbl>
      <w:tblPr>
        <w:tblW w:w="0" w:type="auto"/>
        <w:tblCellMar>
          <w:top w:w="15" w:type="dxa"/>
          <w:left w:w="15" w:type="dxa"/>
          <w:bottom w:w="450" w:type="dxa"/>
          <w:right w:w="15" w:type="dxa"/>
        </w:tblCellMar>
        <w:tblLook w:val="04A0" w:firstRow="1" w:lastRow="0" w:firstColumn="1" w:lastColumn="0" w:noHBand="0" w:noVBand="1"/>
      </w:tblPr>
      <w:tblGrid>
        <w:gridCol w:w="1939"/>
        <w:gridCol w:w="764"/>
        <w:gridCol w:w="1118"/>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PRSA</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Savings</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Savings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 clawback '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lastRenderedPageBreak/>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Savings</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089"/>
        <w:gridCol w:w="764"/>
        <w:gridCol w:w="2280"/>
        <w:gridCol w:w="82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PRSA</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PRB</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Investment</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Investment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045"/>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Investment</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Defined Contribution Pension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Defined Contribution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w:t>
      </w:r>
      <w:r w:rsidRPr="000C732E">
        <w:rPr>
          <w:rFonts w:ascii="Calibri" w:eastAsia="Times New Roman" w:hAnsi="Calibri" w:cs="Arial"/>
          <w:color w:val="7E7E7E"/>
          <w:spacing w:val="5"/>
          <w:szCs w:val="27"/>
          <w:lang w:eastAsia="en-IE"/>
        </w:rPr>
        <w:lastRenderedPageBreak/>
        <w:t xml:space="preserve">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337"/>
        <w:gridCol w:w="764"/>
        <w:gridCol w:w="2280"/>
        <w:gridCol w:w="82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pension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8%</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60</w:t>
            </w:r>
          </w:p>
        </w:tc>
      </w:tr>
      <w:tr w:rsidR="00303812" w:rsidRPr="000C732E" w:rsidTr="00FF7AA9">
        <w:tc>
          <w:tcPr>
            <w:tcW w:w="0" w:type="auto"/>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pension</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Approved Retirement Fund (ARF)</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An ARF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w:t>
      </w:r>
      <w:r w:rsidR="00FF7AA9">
        <w:rPr>
          <w:rFonts w:ascii="Calibri" w:eastAsia="Times New Roman" w:hAnsi="Calibri" w:cs="Arial"/>
          <w:color w:val="7E7E7E"/>
          <w:spacing w:val="5"/>
          <w:szCs w:val="27"/>
          <w:lang w:eastAsia="en-IE"/>
        </w:rPr>
        <w:t xml:space="preserve"> commission paid to the broker;</w:t>
      </w:r>
      <w:r w:rsidR="00FF7AA9" w:rsidRPr="000C732E">
        <w:rPr>
          <w:rFonts w:ascii="Calibri" w:eastAsia="Times New Roman" w:hAnsi="Calibri" w:cs="Arial"/>
          <w:color w:val="7E7E7E"/>
          <w:spacing w:val="5"/>
          <w:szCs w:val="27"/>
          <w:lang w:eastAsia="en-IE"/>
        </w:rPr>
        <w:t xml:space="preserve"> depending</w:t>
      </w:r>
      <w:r w:rsidRPr="000C732E">
        <w:rPr>
          <w:rFonts w:ascii="Calibri" w:eastAsia="Times New Roman" w:hAnsi="Calibri" w:cs="Arial"/>
          <w:color w:val="7E7E7E"/>
          <w:spacing w:val="5"/>
          <w:szCs w:val="27"/>
          <w:lang w:eastAsia="en-IE"/>
        </w:rPr>
        <w:t xml:space="preserve"> on how long the policy was active with the provider.</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ARF</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Annuity</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Annuity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Annuity</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w:t>
            </w:r>
          </w:p>
        </w:tc>
      </w:tr>
    </w:tbl>
    <w:p w:rsidR="00303812" w:rsidRPr="000C732E" w:rsidRDefault="00303812" w:rsidP="00303812">
      <w:pPr>
        <w:shd w:val="clear" w:color="auto" w:fill="FFFFFF"/>
        <w:spacing w:after="0" w:line="240" w:lineRule="auto"/>
        <w:outlineLvl w:val="2"/>
        <w:rPr>
          <w:rFonts w:ascii="Calibri" w:eastAsia="Times New Roman" w:hAnsi="Calibri" w:cs="Arial"/>
          <w:b/>
          <w:bCs/>
          <w:color w:val="1C2752"/>
          <w:spacing w:val="5"/>
          <w:szCs w:val="48"/>
          <w:lang w:eastAsia="en-IE"/>
        </w:rPr>
      </w:pPr>
      <w:r w:rsidRPr="000C732E">
        <w:rPr>
          <w:rFonts w:ascii="Calibri" w:eastAsia="Times New Roman" w:hAnsi="Calibri" w:cs="Arial"/>
          <w:b/>
          <w:bCs/>
          <w:color w:val="1C2752"/>
          <w:spacing w:val="5"/>
          <w:szCs w:val="48"/>
          <w:lang w:eastAsia="en-IE"/>
        </w:rPr>
        <w:t>Zurich Life Assurance plc</w:t>
      </w:r>
    </w:p>
    <w:p w:rsidR="00303812" w:rsidRPr="000C732E" w:rsidRDefault="00FF7AA9" w:rsidP="00303812">
      <w:pPr>
        <w:spacing w:after="0" w:line="240" w:lineRule="auto"/>
        <w:rPr>
          <w:rFonts w:ascii="Calibri" w:eastAsia="Times New Roman" w:hAnsi="Calibri" w:cs="Times New Roman"/>
          <w:szCs w:val="24"/>
          <w:lang w:eastAsia="en-IE"/>
        </w:rPr>
      </w:pPr>
      <w:r>
        <w:rPr>
          <w:rFonts w:ascii="Calibri" w:eastAsia="Times New Roman" w:hAnsi="Calibri" w:cs="Times New Roman"/>
          <w:szCs w:val="24"/>
          <w:lang w:eastAsia="en-IE"/>
        </w:rPr>
        <w:pict>
          <v:rect id="_x0000_i1037" style="width:0;height:0" o:hralign="center" o:hrstd="t" o:hr="t" fillcolor="#a0a0a0" stroked="f"/>
        </w:pict>
      </w:r>
    </w:p>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Whole of Life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Whole of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20"/>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lastRenderedPageBreak/>
              <w:t>Whole of Life</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90%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18%</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Term Life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Term Life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w:t>
      </w:r>
      <w:r w:rsidR="00FF7AA9">
        <w:rPr>
          <w:rFonts w:ascii="Calibri" w:eastAsia="Times New Roman" w:hAnsi="Calibri" w:cs="Arial"/>
          <w:color w:val="7E7E7E"/>
          <w:spacing w:val="5"/>
          <w:szCs w:val="27"/>
          <w:lang w:eastAsia="en-IE"/>
        </w:rPr>
        <w:t xml:space="preserve"> commission paid to the broker;</w:t>
      </w:r>
      <w:r w:rsidR="00FF7AA9" w:rsidRPr="000C732E">
        <w:rPr>
          <w:rFonts w:ascii="Calibri" w:eastAsia="Times New Roman" w:hAnsi="Calibri" w:cs="Arial"/>
          <w:color w:val="7E7E7E"/>
          <w:spacing w:val="5"/>
          <w:szCs w:val="27"/>
          <w:lang w:eastAsia="en-IE"/>
        </w:rPr>
        <w:t xml:space="preserve"> depending</w:t>
      </w:r>
      <w:r w:rsidRPr="000C732E">
        <w:rPr>
          <w:rFonts w:ascii="Calibri" w:eastAsia="Times New Roman" w:hAnsi="Calibri" w:cs="Arial"/>
          <w:color w:val="7E7E7E"/>
          <w:spacing w:val="5"/>
          <w:szCs w:val="27"/>
          <w:lang w:eastAsia="en-IE"/>
        </w:rPr>
        <w:t xml:space="preserve">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488"/>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Term Protection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180%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40%</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Single Premium PRSA</w:t>
      </w:r>
    </w:p>
    <w:tbl>
      <w:tblPr>
        <w:tblW w:w="0" w:type="auto"/>
        <w:tblCellMar>
          <w:top w:w="15" w:type="dxa"/>
          <w:left w:w="15" w:type="dxa"/>
          <w:bottom w:w="450" w:type="dxa"/>
          <w:right w:w="15" w:type="dxa"/>
        </w:tblCellMar>
        <w:tblLook w:val="04A0" w:firstRow="1" w:lastRow="0" w:firstColumn="1" w:lastColumn="0" w:noHBand="0" w:noVBand="1"/>
      </w:tblPr>
      <w:tblGrid>
        <w:gridCol w:w="1939"/>
        <w:gridCol w:w="764"/>
        <w:gridCol w:w="1118"/>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PRSA</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0.75%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Specified Illness</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Specified Illness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843"/>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Specified</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Savings</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Savings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 clawback '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gridCol w:w="82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Savings</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Pension Term</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Pension Term Assurance Product provides for an initial commission as outlined below. These policies have an inbuilt recurring commission structure to remunerate the Brokerage for </w:t>
      </w:r>
      <w:r w:rsidRPr="000C732E">
        <w:rPr>
          <w:rFonts w:ascii="Calibri" w:eastAsia="Times New Roman" w:hAnsi="Calibri" w:cs="Arial"/>
          <w:color w:val="7E7E7E"/>
          <w:spacing w:val="5"/>
          <w:szCs w:val="27"/>
          <w:lang w:eastAsia="en-IE"/>
        </w:rPr>
        <w:lastRenderedPageBreak/>
        <w:t>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56"/>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Pension Term</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Savings Account RP (PRSA)</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Personal Retirement Savings Account or PRSA typically provides for an Initial Commission as outlined below with certain restrictions around PRSA’s.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w:t>
      </w:r>
      <w:r w:rsidR="00FF7AA9">
        <w:rPr>
          <w:rFonts w:ascii="Calibri" w:eastAsia="Times New Roman" w:hAnsi="Calibri" w:cs="Arial"/>
          <w:color w:val="7E7E7E"/>
          <w:spacing w:val="5"/>
          <w:szCs w:val="27"/>
          <w:lang w:eastAsia="en-IE"/>
        </w:rPr>
        <w:t>he commission paid to the broker</w:t>
      </w:r>
      <w:r w:rsidR="00FF7AA9" w:rsidRPr="000C732E">
        <w:rPr>
          <w:rFonts w:ascii="Calibri" w:eastAsia="Times New Roman" w:hAnsi="Calibri" w:cs="Arial"/>
          <w:color w:val="7E7E7E"/>
          <w:spacing w:val="5"/>
          <w:szCs w:val="27"/>
          <w:lang w:eastAsia="en-IE"/>
        </w:rPr>
        <w:t>;</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089"/>
        <w:gridCol w:w="764"/>
        <w:gridCol w:w="2280"/>
        <w:gridCol w:w="82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PRSA</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0.75%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Personal Retirement Bond (PRB)</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The Pension Retirement Bond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PRB</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Mortgage Protection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Mortgage Protection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895"/>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Mortgage Protection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180%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40%</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Investment</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lastRenderedPageBreak/>
        <w:t xml:space="preserve">An Investment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045"/>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Investment</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Life Protection</w:t>
      </w:r>
    </w:p>
    <w:tbl>
      <w:tblPr>
        <w:tblW w:w="0" w:type="auto"/>
        <w:tblCellMar>
          <w:top w:w="15" w:type="dxa"/>
          <w:left w:w="15" w:type="dxa"/>
          <w:bottom w:w="450" w:type="dxa"/>
          <w:right w:w="15" w:type="dxa"/>
        </w:tblCellMar>
        <w:tblLook w:val="04A0" w:firstRow="1" w:lastRow="0" w:firstColumn="1" w:lastColumn="0" w:noHBand="0" w:noVBand="1"/>
      </w:tblPr>
      <w:tblGrid>
        <w:gridCol w:w="962"/>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Life</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6%</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Group Income Protection</w:t>
      </w:r>
    </w:p>
    <w:tbl>
      <w:tblPr>
        <w:tblW w:w="0" w:type="auto"/>
        <w:tblCellMar>
          <w:top w:w="15" w:type="dxa"/>
          <w:left w:w="15" w:type="dxa"/>
          <w:bottom w:w="450" w:type="dxa"/>
          <w:right w:w="15" w:type="dxa"/>
        </w:tblCellMar>
        <w:tblLook w:val="04A0" w:firstRow="1" w:lastRow="0" w:firstColumn="1" w:lastColumn="0" w:noHBand="0" w:noVBand="1"/>
      </w:tblPr>
      <w:tblGrid>
        <w:gridCol w:w="812"/>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Group IP</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Defined Contribution Pension</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 Defined Contribution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2337"/>
        <w:gridCol w:w="764"/>
        <w:gridCol w:w="2280"/>
        <w:gridCol w:w="82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Renewal</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Regular Premium pension</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20%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48</w:t>
            </w:r>
          </w:p>
        </w:tc>
      </w:tr>
      <w:tr w:rsidR="00303812" w:rsidRPr="000C732E" w:rsidTr="00FF7AA9">
        <w:tc>
          <w:tcPr>
            <w:tcW w:w="0" w:type="auto"/>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Single premium pension</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5.5%</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c>
          <w:tcPr>
            <w:tcW w:w="0" w:type="auto"/>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c>
          <w:tcPr>
            <w:tcW w:w="0" w:type="auto"/>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Cancer Cover</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A Cancer Cover Product provides for an initial commission as outlined below. These policies have an inbuilt recurring commission structure to remunerate the Brokerage for reviews, service and claims support.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1217"/>
        <w:gridCol w:w="764"/>
        <w:gridCol w:w="2280"/>
        <w:gridCol w:w="2441"/>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Clawback Period (Months)</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lastRenderedPageBreak/>
              <w:t>Cancer Cover</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100%</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12</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Approved Retirement Fund (ARF)</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xml:space="preserve">An ARF Product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w:t>
      </w:r>
      <w:r w:rsidR="00FF7AA9" w:rsidRPr="000C732E">
        <w:rPr>
          <w:rFonts w:ascii="Calibri" w:eastAsia="Times New Roman" w:hAnsi="Calibri" w:cs="Arial"/>
          <w:color w:val="7E7E7E"/>
          <w:spacing w:val="5"/>
          <w:szCs w:val="27"/>
          <w:lang w:eastAsia="en-IE"/>
        </w:rPr>
        <w:t>broker;</w:t>
      </w:r>
      <w:r w:rsidRPr="000C732E">
        <w:rPr>
          <w:rFonts w:ascii="Calibri" w:eastAsia="Times New Roman" w:hAnsi="Calibri" w:cs="Arial"/>
          <w:color w:val="7E7E7E"/>
          <w:spacing w:val="5"/>
          <w:szCs w:val="27"/>
          <w:lang w:eastAsia="en-IE"/>
        </w:rPr>
        <w:t xml:space="preserve"> depending on how long the policy was active with the provider.</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 </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gridCol w:w="2280"/>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Recurring Commission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ARF</w:t>
            </w:r>
          </w:p>
        </w:tc>
        <w:tc>
          <w:tcPr>
            <w:tcW w:w="0" w:type="auto"/>
            <w:shd w:val="clear" w:color="auto" w:fill="F0F0F0"/>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5%</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0.5%</w:t>
            </w:r>
          </w:p>
        </w:tc>
      </w:tr>
    </w:tbl>
    <w:p w:rsidR="00303812" w:rsidRPr="000C732E" w:rsidRDefault="00303812" w:rsidP="00303812">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Annuity</w:t>
      </w:r>
    </w:p>
    <w:p w:rsidR="00303812" w:rsidRPr="000C732E" w:rsidRDefault="00303812" w:rsidP="00303812">
      <w:pPr>
        <w:shd w:val="clear" w:color="auto" w:fill="FFFFFF"/>
        <w:spacing w:after="0" w:line="240" w:lineRule="auto"/>
        <w:rPr>
          <w:rFonts w:ascii="Calibri" w:eastAsia="Times New Roman" w:hAnsi="Calibri" w:cs="Arial"/>
          <w:color w:val="7E7E7E"/>
          <w:spacing w:val="5"/>
          <w:szCs w:val="27"/>
          <w:lang w:eastAsia="en-IE"/>
        </w:rPr>
      </w:pPr>
      <w:r w:rsidRPr="000C732E">
        <w:rPr>
          <w:rFonts w:ascii="Calibri" w:eastAsia="Times New Roman" w:hAnsi="Calibri" w:cs="Arial"/>
          <w:color w:val="7E7E7E"/>
          <w:spacing w:val="5"/>
          <w:szCs w:val="27"/>
          <w:lang w:eastAsia="en-IE"/>
        </w:rPr>
        <w:t>The Annuity contract typically provides for an Initial Commission as outlined below. Brokerages may also agree with a client a recurring commission that may be based on a percentage of the value of the fund or the annual premium. If for some reason a client moves or terminates their policy within a particular period of time, this might result in the provider seeking to 'clawback' some or all of the commission paid to the broker, depending on how long the policy was active with the provider.</w:t>
      </w:r>
    </w:p>
    <w:tbl>
      <w:tblPr>
        <w:tblW w:w="0" w:type="auto"/>
        <w:tblCellMar>
          <w:top w:w="15" w:type="dxa"/>
          <w:left w:w="15" w:type="dxa"/>
          <w:bottom w:w="450" w:type="dxa"/>
          <w:right w:w="15" w:type="dxa"/>
        </w:tblCellMar>
        <w:tblLook w:val="04A0" w:firstRow="1" w:lastRow="0" w:firstColumn="1" w:lastColumn="0" w:noHBand="0" w:noVBand="1"/>
      </w:tblPr>
      <w:tblGrid>
        <w:gridCol w:w="749"/>
        <w:gridCol w:w="764"/>
      </w:tblGrid>
      <w:tr w:rsidR="00303812" w:rsidRPr="000C732E" w:rsidTr="00FF7AA9">
        <w:tc>
          <w:tcPr>
            <w:tcW w:w="0" w:type="auto"/>
            <w:shd w:val="clear" w:color="auto" w:fill="828282"/>
            <w:vAlign w:val="center"/>
            <w:hideMark/>
          </w:tcPr>
          <w:p w:rsidR="00303812" w:rsidRPr="000C732E" w:rsidRDefault="00303812"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303812" w:rsidRPr="000C732E" w:rsidRDefault="00303812"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Initial %</w:t>
            </w:r>
          </w:p>
        </w:tc>
      </w:tr>
      <w:tr w:rsidR="00303812" w:rsidRPr="000C732E" w:rsidTr="00FF7AA9">
        <w:tc>
          <w:tcPr>
            <w:tcW w:w="0" w:type="auto"/>
            <w:shd w:val="clear" w:color="auto" w:fill="F0F0F0"/>
            <w:tcMar>
              <w:top w:w="120" w:type="dxa"/>
              <w:left w:w="15" w:type="dxa"/>
              <w:bottom w:w="450" w:type="dxa"/>
              <w:right w:w="15" w:type="dxa"/>
            </w:tcMar>
            <w:vAlign w:val="center"/>
            <w:hideMark/>
          </w:tcPr>
          <w:p w:rsidR="00303812" w:rsidRPr="000C732E" w:rsidRDefault="00303812" w:rsidP="00FF7AA9">
            <w:pPr>
              <w:spacing w:after="0" w:line="240" w:lineRule="auto"/>
              <w:rPr>
                <w:rFonts w:ascii="Calibri" w:eastAsia="Times New Roman" w:hAnsi="Calibri" w:cs="Times New Roman"/>
                <w:szCs w:val="24"/>
                <w:lang w:eastAsia="en-IE"/>
              </w:rPr>
            </w:pPr>
            <w:r w:rsidRPr="000C732E">
              <w:rPr>
                <w:rFonts w:ascii="Calibri" w:eastAsia="Times New Roman" w:hAnsi="Calibri" w:cs="Times New Roman"/>
                <w:szCs w:val="24"/>
                <w:lang w:eastAsia="en-IE"/>
              </w:rPr>
              <w:t>Annuity</w:t>
            </w:r>
          </w:p>
        </w:tc>
        <w:tc>
          <w:tcPr>
            <w:tcW w:w="0" w:type="auto"/>
            <w:shd w:val="clear" w:color="auto" w:fill="F0F0F0"/>
            <w:tcMar>
              <w:top w:w="15" w:type="dxa"/>
              <w:left w:w="15" w:type="dxa"/>
              <w:bottom w:w="120" w:type="dxa"/>
              <w:right w:w="15" w:type="dxa"/>
            </w:tcMar>
            <w:vAlign w:val="center"/>
            <w:hideMark/>
          </w:tcPr>
          <w:p w:rsidR="00303812" w:rsidRPr="000C732E" w:rsidRDefault="00303812" w:rsidP="00FF7AA9">
            <w:pPr>
              <w:spacing w:after="0" w:line="240" w:lineRule="auto"/>
              <w:jc w:val="center"/>
              <w:rPr>
                <w:rFonts w:ascii="Calibri" w:eastAsia="Times New Roman" w:hAnsi="Calibri" w:cs="Times New Roman"/>
                <w:szCs w:val="24"/>
                <w:lang w:eastAsia="en-IE"/>
              </w:rPr>
            </w:pPr>
            <w:r w:rsidRPr="000C732E">
              <w:rPr>
                <w:rFonts w:ascii="Calibri" w:eastAsia="Times New Roman" w:hAnsi="Calibri" w:cs="Times New Roman"/>
                <w:szCs w:val="24"/>
                <w:lang w:eastAsia="en-IE"/>
              </w:rPr>
              <w:t>3%</w:t>
            </w:r>
          </w:p>
        </w:tc>
      </w:tr>
    </w:tbl>
    <w:p w:rsidR="00303812" w:rsidRPr="00FF7AA9" w:rsidRDefault="00FF7AA9" w:rsidP="00303812">
      <w:pPr>
        <w:shd w:val="clear" w:color="auto" w:fill="FFFFFF"/>
        <w:spacing w:after="0" w:line="240" w:lineRule="auto"/>
        <w:rPr>
          <w:rFonts w:ascii="Calibri" w:eastAsia="Times New Roman" w:hAnsi="Calibri" w:cs="Arial"/>
          <w:b/>
          <w:spacing w:val="5"/>
          <w:szCs w:val="27"/>
          <w:lang w:eastAsia="en-IE"/>
        </w:rPr>
      </w:pPr>
      <w:r w:rsidRPr="00FF7AA9">
        <w:rPr>
          <w:rFonts w:ascii="Calibri" w:eastAsia="Times New Roman" w:hAnsi="Calibri" w:cs="Arial"/>
          <w:b/>
          <w:spacing w:val="5"/>
          <w:szCs w:val="27"/>
          <w:lang w:eastAsia="en-IE"/>
        </w:rPr>
        <w:t xml:space="preserve">Broker Solutions and BCP </w:t>
      </w:r>
    </w:p>
    <w:tbl>
      <w:tblPr>
        <w:tblW w:w="0" w:type="auto"/>
        <w:tblCellMar>
          <w:top w:w="15" w:type="dxa"/>
          <w:left w:w="15" w:type="dxa"/>
          <w:bottom w:w="450" w:type="dxa"/>
          <w:right w:w="15" w:type="dxa"/>
        </w:tblCellMar>
        <w:tblLook w:val="04A0" w:firstRow="1" w:lastRow="0" w:firstColumn="1" w:lastColumn="0" w:noHBand="0" w:noVBand="1"/>
      </w:tblPr>
      <w:tblGrid>
        <w:gridCol w:w="1045"/>
        <w:gridCol w:w="36"/>
        <w:gridCol w:w="1403"/>
        <w:gridCol w:w="36"/>
      </w:tblGrid>
      <w:tr w:rsidR="00FF7AA9" w:rsidRPr="000C732E" w:rsidTr="00FF7AA9">
        <w:tc>
          <w:tcPr>
            <w:tcW w:w="0" w:type="auto"/>
            <w:shd w:val="clear" w:color="auto" w:fill="828282"/>
            <w:vAlign w:val="center"/>
            <w:hideMark/>
          </w:tcPr>
          <w:p w:rsidR="00FF7AA9" w:rsidRPr="000C732E" w:rsidRDefault="00FF7AA9" w:rsidP="00FF7AA9">
            <w:pPr>
              <w:spacing w:after="0" w:line="240" w:lineRule="auto"/>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Product</w:t>
            </w:r>
          </w:p>
        </w:tc>
        <w:tc>
          <w:tcPr>
            <w:tcW w:w="0" w:type="auto"/>
            <w:shd w:val="clear" w:color="auto" w:fill="828282"/>
            <w:vAlign w:val="center"/>
            <w:hideMark/>
          </w:tcPr>
          <w:p w:rsidR="00FF7AA9" w:rsidRPr="000C732E" w:rsidRDefault="00FF7AA9" w:rsidP="00FF7AA9">
            <w:pPr>
              <w:spacing w:after="0" w:line="240" w:lineRule="auto"/>
              <w:jc w:val="center"/>
              <w:rPr>
                <w:rFonts w:ascii="Calibri" w:eastAsia="Times New Roman" w:hAnsi="Calibri" w:cs="Times New Roman"/>
                <w:b/>
                <w:bCs/>
                <w:color w:val="FFFFFF"/>
                <w:szCs w:val="24"/>
                <w:lang w:eastAsia="en-IE"/>
              </w:rPr>
            </w:pPr>
          </w:p>
        </w:tc>
        <w:tc>
          <w:tcPr>
            <w:tcW w:w="0" w:type="auto"/>
            <w:shd w:val="clear" w:color="auto" w:fill="828282"/>
            <w:vAlign w:val="center"/>
            <w:hideMark/>
          </w:tcPr>
          <w:p w:rsidR="00FF7AA9" w:rsidRPr="000C732E" w:rsidRDefault="00FF7AA9" w:rsidP="00FF7AA9">
            <w:pPr>
              <w:spacing w:after="0" w:line="240" w:lineRule="auto"/>
              <w:jc w:val="center"/>
              <w:rPr>
                <w:rFonts w:ascii="Calibri" w:eastAsia="Times New Roman" w:hAnsi="Calibri" w:cs="Times New Roman"/>
                <w:b/>
                <w:bCs/>
                <w:color w:val="FFFFFF"/>
                <w:szCs w:val="24"/>
                <w:lang w:eastAsia="en-IE"/>
              </w:rPr>
            </w:pPr>
            <w:r w:rsidRPr="000C732E">
              <w:rPr>
                <w:rFonts w:ascii="Calibri" w:eastAsia="Times New Roman" w:hAnsi="Calibri" w:cs="Times New Roman"/>
                <w:b/>
                <w:bCs/>
                <w:color w:val="FFFFFF"/>
                <w:szCs w:val="24"/>
                <w:lang w:eastAsia="en-IE"/>
              </w:rPr>
              <w:t xml:space="preserve"> Commission %</w:t>
            </w:r>
          </w:p>
        </w:tc>
        <w:tc>
          <w:tcPr>
            <w:tcW w:w="0" w:type="auto"/>
            <w:shd w:val="clear" w:color="auto" w:fill="828282"/>
            <w:vAlign w:val="center"/>
            <w:hideMark/>
          </w:tcPr>
          <w:p w:rsidR="00FF7AA9" w:rsidRPr="000C732E" w:rsidRDefault="00FF7AA9" w:rsidP="00FF7AA9">
            <w:pPr>
              <w:spacing w:after="0" w:line="240" w:lineRule="auto"/>
              <w:jc w:val="center"/>
              <w:rPr>
                <w:rFonts w:ascii="Calibri" w:eastAsia="Times New Roman" w:hAnsi="Calibri" w:cs="Times New Roman"/>
                <w:b/>
                <w:bCs/>
                <w:color w:val="FFFFFF"/>
                <w:szCs w:val="24"/>
                <w:lang w:eastAsia="en-IE"/>
              </w:rPr>
            </w:pPr>
          </w:p>
        </w:tc>
      </w:tr>
      <w:tr w:rsidR="00FF7AA9" w:rsidRPr="000C732E" w:rsidTr="00FF7AA9">
        <w:tc>
          <w:tcPr>
            <w:tcW w:w="0" w:type="auto"/>
            <w:shd w:val="clear" w:color="auto" w:fill="F0F0F0"/>
            <w:tcMar>
              <w:top w:w="120" w:type="dxa"/>
              <w:left w:w="15" w:type="dxa"/>
              <w:bottom w:w="450" w:type="dxa"/>
              <w:right w:w="15" w:type="dxa"/>
            </w:tcMar>
            <w:vAlign w:val="center"/>
            <w:hideMark/>
          </w:tcPr>
          <w:p w:rsidR="00FF7AA9" w:rsidRPr="000C732E" w:rsidRDefault="00FF7AA9" w:rsidP="00FF7AA9">
            <w:pPr>
              <w:spacing w:after="0" w:line="240" w:lineRule="auto"/>
              <w:rPr>
                <w:rFonts w:ascii="Calibri" w:eastAsia="Times New Roman" w:hAnsi="Calibri" w:cs="Times New Roman"/>
                <w:szCs w:val="24"/>
                <w:lang w:eastAsia="en-IE"/>
              </w:rPr>
            </w:pPr>
            <w:r>
              <w:rPr>
                <w:rFonts w:ascii="Calibri" w:eastAsia="Times New Roman" w:hAnsi="Calibri" w:cs="Times New Roman"/>
                <w:szCs w:val="24"/>
                <w:lang w:eastAsia="en-IE"/>
              </w:rPr>
              <w:t xml:space="preserve">Investment </w:t>
            </w:r>
          </w:p>
        </w:tc>
        <w:tc>
          <w:tcPr>
            <w:tcW w:w="0" w:type="auto"/>
            <w:shd w:val="clear" w:color="auto" w:fill="F0F0F0"/>
            <w:vAlign w:val="center"/>
            <w:hideMark/>
          </w:tcPr>
          <w:p w:rsidR="00FF7AA9" w:rsidRPr="000C732E" w:rsidRDefault="00FF7AA9" w:rsidP="00FF7AA9">
            <w:pPr>
              <w:spacing w:after="0" w:line="240" w:lineRule="auto"/>
              <w:jc w:val="center"/>
              <w:rPr>
                <w:rFonts w:ascii="Calibri" w:eastAsia="Times New Roman" w:hAnsi="Calibri" w:cs="Times New Roman"/>
                <w:szCs w:val="24"/>
                <w:lang w:eastAsia="en-IE"/>
              </w:rPr>
            </w:pPr>
            <w:r>
              <w:rPr>
                <w:rFonts w:ascii="Calibri" w:eastAsia="Times New Roman" w:hAnsi="Calibri" w:cs="Times New Roman"/>
                <w:szCs w:val="24"/>
                <w:lang w:eastAsia="en-IE"/>
              </w:rPr>
              <w:t xml:space="preserve">  </w:t>
            </w:r>
          </w:p>
        </w:tc>
        <w:tc>
          <w:tcPr>
            <w:tcW w:w="0" w:type="auto"/>
            <w:shd w:val="clear" w:color="auto" w:fill="F0F0F0"/>
            <w:vAlign w:val="center"/>
            <w:hideMark/>
          </w:tcPr>
          <w:p w:rsidR="00FF7AA9" w:rsidRPr="000C732E" w:rsidRDefault="00FF7AA9" w:rsidP="00FF7AA9">
            <w:pPr>
              <w:spacing w:after="0" w:line="240" w:lineRule="auto"/>
              <w:jc w:val="center"/>
              <w:rPr>
                <w:rFonts w:ascii="Calibri" w:eastAsia="Times New Roman" w:hAnsi="Calibri" w:cs="Times New Roman"/>
                <w:szCs w:val="24"/>
                <w:lang w:eastAsia="en-IE"/>
              </w:rPr>
            </w:pPr>
            <w:r>
              <w:rPr>
                <w:rFonts w:ascii="Calibri" w:eastAsia="Times New Roman" w:hAnsi="Calibri" w:cs="Times New Roman"/>
                <w:szCs w:val="24"/>
                <w:lang w:eastAsia="en-IE"/>
              </w:rPr>
              <w:t>Up to 2.5</w:t>
            </w:r>
            <w:r w:rsidR="001B0461">
              <w:rPr>
                <w:rFonts w:ascii="Calibri" w:eastAsia="Times New Roman" w:hAnsi="Calibri" w:cs="Times New Roman"/>
                <w:szCs w:val="24"/>
                <w:lang w:eastAsia="en-IE"/>
              </w:rPr>
              <w:t>%</w:t>
            </w:r>
            <w:bookmarkStart w:id="0" w:name="_GoBack"/>
            <w:bookmarkEnd w:id="0"/>
          </w:p>
        </w:tc>
        <w:tc>
          <w:tcPr>
            <w:tcW w:w="0" w:type="auto"/>
            <w:shd w:val="clear" w:color="auto" w:fill="F0F0F0"/>
            <w:tcMar>
              <w:top w:w="15" w:type="dxa"/>
              <w:left w:w="15" w:type="dxa"/>
              <w:bottom w:w="120" w:type="dxa"/>
              <w:right w:w="15" w:type="dxa"/>
            </w:tcMar>
            <w:vAlign w:val="center"/>
            <w:hideMark/>
          </w:tcPr>
          <w:p w:rsidR="00FF7AA9" w:rsidRPr="000C732E" w:rsidRDefault="00FF7AA9" w:rsidP="00FF7AA9">
            <w:pPr>
              <w:spacing w:after="0" w:line="240" w:lineRule="auto"/>
              <w:jc w:val="center"/>
              <w:rPr>
                <w:rFonts w:ascii="Calibri" w:eastAsia="Times New Roman" w:hAnsi="Calibri" w:cs="Times New Roman"/>
                <w:szCs w:val="24"/>
                <w:lang w:eastAsia="en-IE"/>
              </w:rPr>
            </w:pPr>
          </w:p>
        </w:tc>
      </w:tr>
    </w:tbl>
    <w:p w:rsidR="00FF7AA9" w:rsidRPr="000C732E" w:rsidRDefault="00FF7AA9" w:rsidP="00FF7AA9">
      <w:pPr>
        <w:shd w:val="clear" w:color="auto" w:fill="FFFFFF"/>
        <w:spacing w:after="0" w:line="240" w:lineRule="auto"/>
        <w:outlineLvl w:val="3"/>
        <w:rPr>
          <w:rFonts w:ascii="Calibri" w:eastAsia="Times New Roman" w:hAnsi="Calibri" w:cs="Arial"/>
          <w:b/>
          <w:bCs/>
          <w:color w:val="1C2752"/>
          <w:spacing w:val="5"/>
          <w:szCs w:val="42"/>
          <w:lang w:eastAsia="en-IE"/>
        </w:rPr>
      </w:pPr>
      <w:r w:rsidRPr="000C732E">
        <w:rPr>
          <w:rFonts w:ascii="Calibri" w:eastAsia="Times New Roman" w:hAnsi="Calibri" w:cs="Arial"/>
          <w:b/>
          <w:bCs/>
          <w:color w:val="1C2752"/>
          <w:spacing w:val="5"/>
          <w:szCs w:val="42"/>
          <w:lang w:eastAsia="en-IE"/>
        </w:rPr>
        <w:t>Investment</w:t>
      </w:r>
    </w:p>
    <w:p w:rsidR="00303812" w:rsidRPr="000C732E" w:rsidRDefault="00303812" w:rsidP="00303812">
      <w:pPr>
        <w:pStyle w:val="IntenseQuote"/>
        <w:rPr>
          <w:rFonts w:ascii="Calibri" w:hAnsi="Calibri"/>
        </w:rPr>
      </w:pPr>
    </w:p>
    <w:p w:rsidR="004B38F3" w:rsidRPr="000C732E" w:rsidRDefault="004B38F3" w:rsidP="0042129B">
      <w:pPr>
        <w:autoSpaceDE w:val="0"/>
        <w:autoSpaceDN w:val="0"/>
        <w:adjustRightInd w:val="0"/>
        <w:spacing w:after="0" w:line="240" w:lineRule="auto"/>
        <w:rPr>
          <w:rFonts w:ascii="Calibri" w:hAnsi="Calibri" w:cs="Calibri"/>
        </w:rPr>
      </w:pPr>
    </w:p>
    <w:sectPr w:rsidR="004B38F3" w:rsidRPr="000C7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60334"/>
    <w:multiLevelType w:val="multilevel"/>
    <w:tmpl w:val="39C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95649"/>
    <w:multiLevelType w:val="multilevel"/>
    <w:tmpl w:val="CE7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9B"/>
    <w:rsid w:val="000C732E"/>
    <w:rsid w:val="00102F2F"/>
    <w:rsid w:val="001B0461"/>
    <w:rsid w:val="00303812"/>
    <w:rsid w:val="00362DE7"/>
    <w:rsid w:val="0042129B"/>
    <w:rsid w:val="0042717F"/>
    <w:rsid w:val="004500BE"/>
    <w:rsid w:val="004B38F3"/>
    <w:rsid w:val="00623CCB"/>
    <w:rsid w:val="008470FF"/>
    <w:rsid w:val="009E6D7A"/>
    <w:rsid w:val="00B36AE9"/>
    <w:rsid w:val="00B67168"/>
    <w:rsid w:val="00C41699"/>
    <w:rsid w:val="00CB34F0"/>
    <w:rsid w:val="00CF6817"/>
    <w:rsid w:val="00DF7E04"/>
    <w:rsid w:val="00E6217F"/>
    <w:rsid w:val="00E87FF0"/>
    <w:rsid w:val="00FF7A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716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B6716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168"/>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B67168"/>
    <w:rPr>
      <w:rFonts w:ascii="Times New Roman" w:eastAsia="Times New Roman" w:hAnsi="Times New Roman" w:cs="Times New Roman"/>
      <w:b/>
      <w:bCs/>
      <w:sz w:val="27"/>
      <w:szCs w:val="27"/>
      <w:lang w:eastAsia="en-IE"/>
    </w:rPr>
  </w:style>
  <w:style w:type="numbering" w:customStyle="1" w:styleId="NoList1">
    <w:name w:val="No List1"/>
    <w:next w:val="NoList"/>
    <w:uiPriority w:val="99"/>
    <w:semiHidden/>
    <w:unhideWhenUsed/>
    <w:rsid w:val="00B67168"/>
  </w:style>
  <w:style w:type="paragraph" w:styleId="NormalWeb">
    <w:name w:val="Normal (Web)"/>
    <w:basedOn w:val="Normal"/>
    <w:uiPriority w:val="99"/>
    <w:semiHidden/>
    <w:unhideWhenUsed/>
    <w:rsid w:val="00B6716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B6716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B67168"/>
  </w:style>
  <w:style w:type="character" w:customStyle="1" w:styleId="elementor-grid-item">
    <w:name w:val="elementor-grid-item"/>
    <w:basedOn w:val="DefaultParagraphFont"/>
    <w:rsid w:val="00B67168"/>
  </w:style>
  <w:style w:type="character" w:customStyle="1" w:styleId="elementor-screen-only">
    <w:name w:val="elementor-screen-only"/>
    <w:basedOn w:val="DefaultParagraphFont"/>
    <w:rsid w:val="00B67168"/>
  </w:style>
  <w:style w:type="character" w:styleId="Hyperlink">
    <w:name w:val="Hyperlink"/>
    <w:basedOn w:val="DefaultParagraphFont"/>
    <w:uiPriority w:val="99"/>
    <w:semiHidden/>
    <w:unhideWhenUsed/>
    <w:rsid w:val="00B67168"/>
    <w:rPr>
      <w:color w:val="0000FF"/>
      <w:u w:val="single"/>
    </w:rPr>
  </w:style>
  <w:style w:type="character" w:styleId="FollowedHyperlink">
    <w:name w:val="FollowedHyperlink"/>
    <w:basedOn w:val="DefaultParagraphFont"/>
    <w:uiPriority w:val="99"/>
    <w:semiHidden/>
    <w:unhideWhenUsed/>
    <w:rsid w:val="00B67168"/>
    <w:rPr>
      <w:color w:val="800080"/>
      <w:u w:val="single"/>
    </w:rPr>
  </w:style>
  <w:style w:type="character" w:customStyle="1" w:styleId="elementor-button-content-wrapper">
    <w:name w:val="elementor-button-content-wrapper"/>
    <w:basedOn w:val="DefaultParagraphFont"/>
    <w:rsid w:val="00B67168"/>
  </w:style>
  <w:style w:type="character" w:customStyle="1" w:styleId="elementor-button-text">
    <w:name w:val="elementor-button-text"/>
    <w:basedOn w:val="DefaultParagraphFont"/>
    <w:rsid w:val="00B67168"/>
  </w:style>
  <w:style w:type="character" w:customStyle="1" w:styleId="elementor-icon-list-icon">
    <w:name w:val="elementor-icon-list-icon"/>
    <w:basedOn w:val="DefaultParagraphFont"/>
    <w:rsid w:val="00B67168"/>
  </w:style>
  <w:style w:type="character" w:customStyle="1" w:styleId="elementor-icon-list-text">
    <w:name w:val="elementor-icon-list-text"/>
    <w:basedOn w:val="DefaultParagraphFont"/>
    <w:rsid w:val="00B67168"/>
  </w:style>
  <w:style w:type="paragraph" w:styleId="BalloonText">
    <w:name w:val="Balloon Text"/>
    <w:basedOn w:val="Normal"/>
    <w:link w:val="BalloonTextChar"/>
    <w:uiPriority w:val="99"/>
    <w:semiHidden/>
    <w:unhideWhenUsed/>
    <w:rsid w:val="00B6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68"/>
    <w:rPr>
      <w:rFonts w:ascii="Tahoma" w:hAnsi="Tahoma" w:cs="Tahoma"/>
      <w:sz w:val="16"/>
      <w:szCs w:val="16"/>
    </w:rPr>
  </w:style>
  <w:style w:type="paragraph" w:styleId="IntenseQuote">
    <w:name w:val="Intense Quote"/>
    <w:basedOn w:val="Normal"/>
    <w:next w:val="Normal"/>
    <w:link w:val="IntenseQuoteChar"/>
    <w:uiPriority w:val="30"/>
    <w:qFormat/>
    <w:rsid w:val="003038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3812"/>
    <w:rPr>
      <w:b/>
      <w:bCs/>
      <w:i/>
      <w:iCs/>
      <w:color w:val="4F81BD" w:themeColor="accent1"/>
    </w:rPr>
  </w:style>
  <w:style w:type="paragraph" w:styleId="BodyText">
    <w:name w:val="Body Text"/>
    <w:basedOn w:val="Normal"/>
    <w:link w:val="BodyTextChar"/>
    <w:semiHidden/>
    <w:unhideWhenUsed/>
    <w:rsid w:val="009E6D7A"/>
    <w:pPr>
      <w:spacing w:after="0" w:line="240" w:lineRule="auto"/>
    </w:pPr>
    <w:rPr>
      <w:rFonts w:ascii="Times New Roman" w:eastAsia="Times New Roman" w:hAnsi="Times New Roman" w:cs="Times New Roman"/>
      <w:i/>
      <w:iCs/>
      <w:sz w:val="24"/>
      <w:szCs w:val="24"/>
      <w:lang w:val="en-US"/>
    </w:rPr>
  </w:style>
  <w:style w:type="character" w:customStyle="1" w:styleId="BodyTextChar">
    <w:name w:val="Body Text Char"/>
    <w:basedOn w:val="DefaultParagraphFont"/>
    <w:link w:val="BodyText"/>
    <w:semiHidden/>
    <w:rsid w:val="009E6D7A"/>
    <w:rPr>
      <w:rFonts w:ascii="Times New Roman" w:eastAsia="Times New Roman" w:hAnsi="Times New Roman" w:cs="Times New Roman"/>
      <w:i/>
      <w:i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716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B6716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168"/>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B67168"/>
    <w:rPr>
      <w:rFonts w:ascii="Times New Roman" w:eastAsia="Times New Roman" w:hAnsi="Times New Roman" w:cs="Times New Roman"/>
      <w:b/>
      <w:bCs/>
      <w:sz w:val="27"/>
      <w:szCs w:val="27"/>
      <w:lang w:eastAsia="en-IE"/>
    </w:rPr>
  </w:style>
  <w:style w:type="numbering" w:customStyle="1" w:styleId="NoList1">
    <w:name w:val="No List1"/>
    <w:next w:val="NoList"/>
    <w:uiPriority w:val="99"/>
    <w:semiHidden/>
    <w:unhideWhenUsed/>
    <w:rsid w:val="00B67168"/>
  </w:style>
  <w:style w:type="paragraph" w:styleId="NormalWeb">
    <w:name w:val="Normal (Web)"/>
    <w:basedOn w:val="Normal"/>
    <w:uiPriority w:val="99"/>
    <w:semiHidden/>
    <w:unhideWhenUsed/>
    <w:rsid w:val="00B6716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B6716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B67168"/>
  </w:style>
  <w:style w:type="character" w:customStyle="1" w:styleId="elementor-grid-item">
    <w:name w:val="elementor-grid-item"/>
    <w:basedOn w:val="DefaultParagraphFont"/>
    <w:rsid w:val="00B67168"/>
  </w:style>
  <w:style w:type="character" w:customStyle="1" w:styleId="elementor-screen-only">
    <w:name w:val="elementor-screen-only"/>
    <w:basedOn w:val="DefaultParagraphFont"/>
    <w:rsid w:val="00B67168"/>
  </w:style>
  <w:style w:type="character" w:styleId="Hyperlink">
    <w:name w:val="Hyperlink"/>
    <w:basedOn w:val="DefaultParagraphFont"/>
    <w:uiPriority w:val="99"/>
    <w:semiHidden/>
    <w:unhideWhenUsed/>
    <w:rsid w:val="00B67168"/>
    <w:rPr>
      <w:color w:val="0000FF"/>
      <w:u w:val="single"/>
    </w:rPr>
  </w:style>
  <w:style w:type="character" w:styleId="FollowedHyperlink">
    <w:name w:val="FollowedHyperlink"/>
    <w:basedOn w:val="DefaultParagraphFont"/>
    <w:uiPriority w:val="99"/>
    <w:semiHidden/>
    <w:unhideWhenUsed/>
    <w:rsid w:val="00B67168"/>
    <w:rPr>
      <w:color w:val="800080"/>
      <w:u w:val="single"/>
    </w:rPr>
  </w:style>
  <w:style w:type="character" w:customStyle="1" w:styleId="elementor-button-content-wrapper">
    <w:name w:val="elementor-button-content-wrapper"/>
    <w:basedOn w:val="DefaultParagraphFont"/>
    <w:rsid w:val="00B67168"/>
  </w:style>
  <w:style w:type="character" w:customStyle="1" w:styleId="elementor-button-text">
    <w:name w:val="elementor-button-text"/>
    <w:basedOn w:val="DefaultParagraphFont"/>
    <w:rsid w:val="00B67168"/>
  </w:style>
  <w:style w:type="character" w:customStyle="1" w:styleId="elementor-icon-list-icon">
    <w:name w:val="elementor-icon-list-icon"/>
    <w:basedOn w:val="DefaultParagraphFont"/>
    <w:rsid w:val="00B67168"/>
  </w:style>
  <w:style w:type="character" w:customStyle="1" w:styleId="elementor-icon-list-text">
    <w:name w:val="elementor-icon-list-text"/>
    <w:basedOn w:val="DefaultParagraphFont"/>
    <w:rsid w:val="00B67168"/>
  </w:style>
  <w:style w:type="paragraph" w:styleId="BalloonText">
    <w:name w:val="Balloon Text"/>
    <w:basedOn w:val="Normal"/>
    <w:link w:val="BalloonTextChar"/>
    <w:uiPriority w:val="99"/>
    <w:semiHidden/>
    <w:unhideWhenUsed/>
    <w:rsid w:val="00B6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68"/>
    <w:rPr>
      <w:rFonts w:ascii="Tahoma" w:hAnsi="Tahoma" w:cs="Tahoma"/>
      <w:sz w:val="16"/>
      <w:szCs w:val="16"/>
    </w:rPr>
  </w:style>
  <w:style w:type="paragraph" w:styleId="IntenseQuote">
    <w:name w:val="Intense Quote"/>
    <w:basedOn w:val="Normal"/>
    <w:next w:val="Normal"/>
    <w:link w:val="IntenseQuoteChar"/>
    <w:uiPriority w:val="30"/>
    <w:qFormat/>
    <w:rsid w:val="003038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3812"/>
    <w:rPr>
      <w:b/>
      <w:bCs/>
      <w:i/>
      <w:iCs/>
      <w:color w:val="4F81BD" w:themeColor="accent1"/>
    </w:rPr>
  </w:style>
  <w:style w:type="paragraph" w:styleId="BodyText">
    <w:name w:val="Body Text"/>
    <w:basedOn w:val="Normal"/>
    <w:link w:val="BodyTextChar"/>
    <w:semiHidden/>
    <w:unhideWhenUsed/>
    <w:rsid w:val="009E6D7A"/>
    <w:pPr>
      <w:spacing w:after="0" w:line="240" w:lineRule="auto"/>
    </w:pPr>
    <w:rPr>
      <w:rFonts w:ascii="Times New Roman" w:eastAsia="Times New Roman" w:hAnsi="Times New Roman" w:cs="Times New Roman"/>
      <w:i/>
      <w:iCs/>
      <w:sz w:val="24"/>
      <w:szCs w:val="24"/>
      <w:lang w:val="en-US"/>
    </w:rPr>
  </w:style>
  <w:style w:type="character" w:customStyle="1" w:styleId="BodyTextChar">
    <w:name w:val="Body Text Char"/>
    <w:basedOn w:val="DefaultParagraphFont"/>
    <w:link w:val="BodyText"/>
    <w:semiHidden/>
    <w:rsid w:val="009E6D7A"/>
    <w:rPr>
      <w:rFonts w:ascii="Times New Roman" w:eastAsia="Times New Roman" w:hAnsi="Times New Roman" w:cs="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6454">
      <w:bodyDiv w:val="1"/>
      <w:marLeft w:val="0"/>
      <w:marRight w:val="0"/>
      <w:marTop w:val="0"/>
      <w:marBottom w:val="0"/>
      <w:divBdr>
        <w:top w:val="none" w:sz="0" w:space="0" w:color="auto"/>
        <w:left w:val="none" w:sz="0" w:space="0" w:color="auto"/>
        <w:bottom w:val="none" w:sz="0" w:space="0" w:color="auto"/>
        <w:right w:val="none" w:sz="0" w:space="0" w:color="auto"/>
      </w:divBdr>
      <w:divsChild>
        <w:div w:id="1271085320">
          <w:marLeft w:val="0"/>
          <w:marRight w:val="0"/>
          <w:marTop w:val="0"/>
          <w:marBottom w:val="0"/>
          <w:divBdr>
            <w:top w:val="none" w:sz="0" w:space="0" w:color="auto"/>
            <w:left w:val="none" w:sz="0" w:space="0" w:color="auto"/>
            <w:bottom w:val="none" w:sz="0" w:space="0" w:color="auto"/>
            <w:right w:val="none" w:sz="0" w:space="0" w:color="auto"/>
          </w:divBdr>
          <w:divsChild>
            <w:div w:id="2147355487">
              <w:marLeft w:val="0"/>
              <w:marRight w:val="0"/>
              <w:marTop w:val="0"/>
              <w:marBottom w:val="0"/>
              <w:divBdr>
                <w:top w:val="none" w:sz="0" w:space="0" w:color="auto"/>
                <w:left w:val="none" w:sz="0" w:space="0" w:color="auto"/>
                <w:bottom w:val="none" w:sz="0" w:space="0" w:color="auto"/>
                <w:right w:val="none" w:sz="0" w:space="0" w:color="auto"/>
              </w:divBdr>
              <w:divsChild>
                <w:div w:id="1958900904">
                  <w:marLeft w:val="0"/>
                  <w:marRight w:val="0"/>
                  <w:marTop w:val="0"/>
                  <w:marBottom w:val="0"/>
                  <w:divBdr>
                    <w:top w:val="none" w:sz="0" w:space="0" w:color="auto"/>
                    <w:left w:val="none" w:sz="0" w:space="0" w:color="auto"/>
                    <w:bottom w:val="none" w:sz="0" w:space="0" w:color="auto"/>
                    <w:right w:val="none" w:sz="0" w:space="0" w:color="auto"/>
                  </w:divBdr>
                  <w:divsChild>
                    <w:div w:id="1572158147">
                      <w:marLeft w:val="0"/>
                      <w:marRight w:val="0"/>
                      <w:marTop w:val="0"/>
                      <w:marBottom w:val="0"/>
                      <w:divBdr>
                        <w:top w:val="none" w:sz="0" w:space="0" w:color="auto"/>
                        <w:left w:val="none" w:sz="0" w:space="0" w:color="auto"/>
                        <w:bottom w:val="none" w:sz="0" w:space="0" w:color="auto"/>
                        <w:right w:val="none" w:sz="0" w:space="0" w:color="auto"/>
                      </w:divBdr>
                      <w:divsChild>
                        <w:div w:id="237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21070">
          <w:marLeft w:val="0"/>
          <w:marRight w:val="0"/>
          <w:marTop w:val="0"/>
          <w:marBottom w:val="0"/>
          <w:divBdr>
            <w:top w:val="none" w:sz="0" w:space="0" w:color="auto"/>
            <w:left w:val="none" w:sz="0" w:space="0" w:color="auto"/>
            <w:bottom w:val="none" w:sz="0" w:space="0" w:color="auto"/>
            <w:right w:val="none" w:sz="0" w:space="0" w:color="auto"/>
          </w:divBdr>
          <w:divsChild>
            <w:div w:id="2090879191">
              <w:marLeft w:val="0"/>
              <w:marRight w:val="0"/>
              <w:marTop w:val="0"/>
              <w:marBottom w:val="0"/>
              <w:divBdr>
                <w:top w:val="none" w:sz="0" w:space="0" w:color="auto"/>
                <w:left w:val="none" w:sz="0" w:space="0" w:color="auto"/>
                <w:bottom w:val="none" w:sz="0" w:space="0" w:color="auto"/>
                <w:right w:val="none" w:sz="0" w:space="0" w:color="auto"/>
              </w:divBdr>
              <w:divsChild>
                <w:div w:id="951132259">
                  <w:marLeft w:val="0"/>
                  <w:marRight w:val="0"/>
                  <w:marTop w:val="0"/>
                  <w:marBottom w:val="0"/>
                  <w:divBdr>
                    <w:top w:val="none" w:sz="0" w:space="0" w:color="auto"/>
                    <w:left w:val="none" w:sz="0" w:space="0" w:color="auto"/>
                    <w:bottom w:val="none" w:sz="0" w:space="0" w:color="auto"/>
                    <w:right w:val="none" w:sz="0" w:space="0" w:color="auto"/>
                  </w:divBdr>
                  <w:divsChild>
                    <w:div w:id="2096588025">
                      <w:marLeft w:val="0"/>
                      <w:marRight w:val="0"/>
                      <w:marTop w:val="0"/>
                      <w:marBottom w:val="0"/>
                      <w:divBdr>
                        <w:top w:val="none" w:sz="0" w:space="0" w:color="auto"/>
                        <w:left w:val="none" w:sz="0" w:space="0" w:color="auto"/>
                        <w:bottom w:val="none" w:sz="0" w:space="0" w:color="auto"/>
                        <w:right w:val="none" w:sz="0" w:space="0" w:color="auto"/>
                      </w:divBdr>
                      <w:divsChild>
                        <w:div w:id="1433088927">
                          <w:marLeft w:val="0"/>
                          <w:marRight w:val="0"/>
                          <w:marTop w:val="0"/>
                          <w:marBottom w:val="0"/>
                          <w:divBdr>
                            <w:top w:val="none" w:sz="0" w:space="0" w:color="auto"/>
                            <w:left w:val="none" w:sz="0" w:space="0" w:color="auto"/>
                            <w:bottom w:val="none" w:sz="0" w:space="0" w:color="auto"/>
                            <w:right w:val="none" w:sz="0" w:space="0" w:color="auto"/>
                          </w:divBdr>
                          <w:divsChild>
                            <w:div w:id="1636135960">
                              <w:marLeft w:val="0"/>
                              <w:marRight w:val="0"/>
                              <w:marTop w:val="0"/>
                              <w:marBottom w:val="0"/>
                              <w:divBdr>
                                <w:top w:val="none" w:sz="0" w:space="0" w:color="auto"/>
                                <w:left w:val="none" w:sz="0" w:space="0" w:color="auto"/>
                                <w:bottom w:val="none" w:sz="0" w:space="0" w:color="auto"/>
                                <w:right w:val="none" w:sz="0" w:space="0" w:color="auto"/>
                              </w:divBdr>
                              <w:divsChild>
                                <w:div w:id="1560893874">
                                  <w:marLeft w:val="0"/>
                                  <w:marRight w:val="0"/>
                                  <w:marTop w:val="0"/>
                                  <w:marBottom w:val="0"/>
                                  <w:divBdr>
                                    <w:top w:val="none" w:sz="0" w:space="0" w:color="auto"/>
                                    <w:left w:val="none" w:sz="0" w:space="0" w:color="auto"/>
                                    <w:bottom w:val="none" w:sz="0" w:space="0" w:color="auto"/>
                                    <w:right w:val="none" w:sz="0" w:space="0" w:color="auto"/>
                                  </w:divBdr>
                                  <w:divsChild>
                                    <w:div w:id="1890652731">
                                      <w:marLeft w:val="0"/>
                                      <w:marRight w:val="0"/>
                                      <w:marTop w:val="0"/>
                                      <w:marBottom w:val="0"/>
                                      <w:divBdr>
                                        <w:top w:val="none" w:sz="0" w:space="0" w:color="auto"/>
                                        <w:left w:val="none" w:sz="0" w:space="0" w:color="auto"/>
                                        <w:bottom w:val="none" w:sz="0" w:space="0" w:color="auto"/>
                                        <w:right w:val="none" w:sz="0" w:space="0" w:color="auto"/>
                                      </w:divBdr>
                                    </w:div>
                                    <w:div w:id="219052313">
                                      <w:marLeft w:val="0"/>
                                      <w:marRight w:val="0"/>
                                      <w:marTop w:val="0"/>
                                      <w:marBottom w:val="0"/>
                                      <w:divBdr>
                                        <w:top w:val="none" w:sz="0" w:space="0" w:color="auto"/>
                                        <w:left w:val="none" w:sz="0" w:space="0" w:color="auto"/>
                                        <w:bottom w:val="none" w:sz="0" w:space="0" w:color="auto"/>
                                        <w:right w:val="none" w:sz="0" w:space="0" w:color="auto"/>
                                      </w:divBdr>
                                      <w:divsChild>
                                        <w:div w:id="1794009695">
                                          <w:marLeft w:val="0"/>
                                          <w:marRight w:val="0"/>
                                          <w:marTop w:val="0"/>
                                          <w:marBottom w:val="0"/>
                                          <w:divBdr>
                                            <w:top w:val="none" w:sz="0" w:space="0" w:color="auto"/>
                                            <w:left w:val="none" w:sz="0" w:space="0" w:color="auto"/>
                                            <w:bottom w:val="none" w:sz="0" w:space="0" w:color="auto"/>
                                            <w:right w:val="none" w:sz="0" w:space="0" w:color="auto"/>
                                          </w:divBdr>
                                          <w:divsChild>
                                            <w:div w:id="1733232713">
                                              <w:marLeft w:val="0"/>
                                              <w:marRight w:val="0"/>
                                              <w:marTop w:val="75"/>
                                              <w:marBottom w:val="0"/>
                                              <w:divBdr>
                                                <w:top w:val="single" w:sz="2" w:space="0" w:color="auto"/>
                                                <w:left w:val="single" w:sz="2" w:space="0" w:color="auto"/>
                                                <w:bottom w:val="single" w:sz="6" w:space="4" w:color="auto"/>
                                                <w:right w:val="single" w:sz="2" w:space="0" w:color="auto"/>
                                              </w:divBdr>
                                            </w:div>
                                          </w:divsChild>
                                        </w:div>
                                        <w:div w:id="1735883835">
                                          <w:marLeft w:val="0"/>
                                          <w:marRight w:val="0"/>
                                          <w:marTop w:val="0"/>
                                          <w:marBottom w:val="0"/>
                                          <w:divBdr>
                                            <w:top w:val="none" w:sz="0" w:space="0" w:color="auto"/>
                                            <w:left w:val="none" w:sz="0" w:space="0" w:color="auto"/>
                                            <w:bottom w:val="none" w:sz="0" w:space="0" w:color="auto"/>
                                            <w:right w:val="none" w:sz="0" w:space="0" w:color="auto"/>
                                          </w:divBdr>
                                          <w:divsChild>
                                            <w:div w:id="738135861">
                                              <w:marLeft w:val="0"/>
                                              <w:marRight w:val="0"/>
                                              <w:marTop w:val="150"/>
                                              <w:marBottom w:val="0"/>
                                              <w:divBdr>
                                                <w:top w:val="none" w:sz="0" w:space="0" w:color="auto"/>
                                                <w:left w:val="none" w:sz="0" w:space="0" w:color="auto"/>
                                                <w:bottom w:val="none" w:sz="0" w:space="0" w:color="auto"/>
                                                <w:right w:val="none" w:sz="0" w:space="0" w:color="auto"/>
                                              </w:divBdr>
                                              <w:divsChild>
                                                <w:div w:id="16287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148">
                                  <w:marLeft w:val="0"/>
                                  <w:marRight w:val="0"/>
                                  <w:marTop w:val="0"/>
                                  <w:marBottom w:val="0"/>
                                  <w:divBdr>
                                    <w:top w:val="none" w:sz="0" w:space="0" w:color="auto"/>
                                    <w:left w:val="none" w:sz="0" w:space="0" w:color="auto"/>
                                    <w:bottom w:val="none" w:sz="0" w:space="0" w:color="auto"/>
                                    <w:right w:val="none" w:sz="0" w:space="0" w:color="auto"/>
                                  </w:divBdr>
                                  <w:divsChild>
                                    <w:div w:id="279144352">
                                      <w:marLeft w:val="0"/>
                                      <w:marRight w:val="0"/>
                                      <w:marTop w:val="0"/>
                                      <w:marBottom w:val="0"/>
                                      <w:divBdr>
                                        <w:top w:val="single" w:sz="2" w:space="0" w:color="auto"/>
                                        <w:left w:val="single" w:sz="2" w:space="0" w:color="auto"/>
                                        <w:bottom w:val="single" w:sz="18" w:space="0" w:color="auto"/>
                                        <w:right w:val="single" w:sz="2" w:space="0" w:color="auto"/>
                                      </w:divBdr>
                                      <w:divsChild>
                                        <w:div w:id="1998066442">
                                          <w:marLeft w:val="0"/>
                                          <w:marRight w:val="0"/>
                                          <w:marTop w:val="0"/>
                                          <w:marBottom w:val="0"/>
                                          <w:divBdr>
                                            <w:top w:val="none" w:sz="0" w:space="0" w:color="auto"/>
                                            <w:left w:val="none" w:sz="0" w:space="0" w:color="auto"/>
                                            <w:bottom w:val="none" w:sz="0" w:space="0" w:color="auto"/>
                                            <w:right w:val="none" w:sz="0" w:space="0" w:color="auto"/>
                                          </w:divBdr>
                                          <w:divsChild>
                                            <w:div w:id="1756779302">
                                              <w:marLeft w:val="0"/>
                                              <w:marRight w:val="0"/>
                                              <w:marTop w:val="0"/>
                                              <w:marBottom w:val="0"/>
                                              <w:divBdr>
                                                <w:top w:val="none" w:sz="0" w:space="0" w:color="auto"/>
                                                <w:left w:val="none" w:sz="0" w:space="0" w:color="auto"/>
                                                <w:bottom w:val="none" w:sz="0" w:space="0" w:color="auto"/>
                                                <w:right w:val="none" w:sz="0" w:space="0" w:color="auto"/>
                                              </w:divBdr>
                                              <w:divsChild>
                                                <w:div w:id="437603946">
                                                  <w:marLeft w:val="0"/>
                                                  <w:marRight w:val="0"/>
                                                  <w:marTop w:val="0"/>
                                                  <w:marBottom w:val="0"/>
                                                  <w:divBdr>
                                                    <w:top w:val="none" w:sz="0" w:space="0" w:color="auto"/>
                                                    <w:left w:val="none" w:sz="0" w:space="0" w:color="auto"/>
                                                    <w:bottom w:val="none" w:sz="0" w:space="0" w:color="auto"/>
                                                    <w:right w:val="none" w:sz="0" w:space="0" w:color="auto"/>
                                                  </w:divBdr>
                                                  <w:divsChild>
                                                    <w:div w:id="4134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6311">
                                          <w:marLeft w:val="0"/>
                                          <w:marRight w:val="0"/>
                                          <w:marTop w:val="0"/>
                                          <w:marBottom w:val="0"/>
                                          <w:divBdr>
                                            <w:top w:val="none" w:sz="0" w:space="0" w:color="auto"/>
                                            <w:left w:val="none" w:sz="0" w:space="0" w:color="auto"/>
                                            <w:bottom w:val="none" w:sz="0" w:space="0" w:color="auto"/>
                                            <w:right w:val="none" w:sz="0" w:space="0" w:color="auto"/>
                                          </w:divBdr>
                                          <w:divsChild>
                                            <w:div w:id="369648059">
                                              <w:marLeft w:val="0"/>
                                              <w:marRight w:val="0"/>
                                              <w:marTop w:val="0"/>
                                              <w:marBottom w:val="0"/>
                                              <w:divBdr>
                                                <w:top w:val="none" w:sz="0" w:space="0" w:color="auto"/>
                                                <w:left w:val="none" w:sz="0" w:space="0" w:color="auto"/>
                                                <w:bottom w:val="none" w:sz="0" w:space="0" w:color="auto"/>
                                                <w:right w:val="none" w:sz="0" w:space="0" w:color="auto"/>
                                              </w:divBdr>
                                              <w:divsChild>
                                                <w:div w:id="429740492">
                                                  <w:marLeft w:val="0"/>
                                                  <w:marRight w:val="0"/>
                                                  <w:marTop w:val="0"/>
                                                  <w:marBottom w:val="0"/>
                                                  <w:divBdr>
                                                    <w:top w:val="none" w:sz="0" w:space="0" w:color="auto"/>
                                                    <w:left w:val="none" w:sz="0" w:space="0" w:color="auto"/>
                                                    <w:bottom w:val="none" w:sz="0" w:space="0" w:color="auto"/>
                                                    <w:right w:val="none" w:sz="0" w:space="0" w:color="auto"/>
                                                  </w:divBdr>
                                                  <w:divsChild>
                                                    <w:div w:id="1857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41557">
                                      <w:marLeft w:val="0"/>
                                      <w:marRight w:val="0"/>
                                      <w:marTop w:val="0"/>
                                      <w:marBottom w:val="0"/>
                                      <w:divBdr>
                                        <w:top w:val="none" w:sz="0" w:space="0" w:color="auto"/>
                                        <w:left w:val="none" w:sz="0" w:space="0" w:color="auto"/>
                                        <w:bottom w:val="none" w:sz="0" w:space="0" w:color="auto"/>
                                        <w:right w:val="none" w:sz="0" w:space="0" w:color="auto"/>
                                      </w:divBdr>
                                      <w:divsChild>
                                        <w:div w:id="1637955886">
                                          <w:marLeft w:val="0"/>
                                          <w:marRight w:val="0"/>
                                          <w:marTop w:val="0"/>
                                          <w:marBottom w:val="0"/>
                                          <w:divBdr>
                                            <w:top w:val="none" w:sz="0" w:space="0" w:color="auto"/>
                                            <w:left w:val="none" w:sz="0" w:space="0" w:color="auto"/>
                                            <w:bottom w:val="none" w:sz="0" w:space="0" w:color="auto"/>
                                            <w:right w:val="none" w:sz="0" w:space="0" w:color="auto"/>
                                          </w:divBdr>
                                          <w:divsChild>
                                            <w:div w:id="1278217345">
                                              <w:marLeft w:val="0"/>
                                              <w:marRight w:val="0"/>
                                              <w:marTop w:val="0"/>
                                              <w:marBottom w:val="0"/>
                                              <w:divBdr>
                                                <w:top w:val="none" w:sz="0" w:space="0" w:color="auto"/>
                                                <w:left w:val="none" w:sz="0" w:space="0" w:color="auto"/>
                                                <w:bottom w:val="none" w:sz="0" w:space="0" w:color="auto"/>
                                                <w:right w:val="none" w:sz="0" w:space="0" w:color="auto"/>
                                              </w:divBdr>
                                              <w:divsChild>
                                                <w:div w:id="115829175">
                                                  <w:marLeft w:val="0"/>
                                                  <w:marRight w:val="0"/>
                                                  <w:marTop w:val="0"/>
                                                  <w:marBottom w:val="300"/>
                                                  <w:divBdr>
                                                    <w:top w:val="none" w:sz="0" w:space="0" w:color="auto"/>
                                                    <w:left w:val="none" w:sz="0" w:space="0" w:color="auto"/>
                                                    <w:bottom w:val="none" w:sz="0" w:space="0" w:color="auto"/>
                                                    <w:right w:val="none" w:sz="0" w:space="0" w:color="auto"/>
                                                  </w:divBdr>
                                                </w:div>
                                              </w:divsChild>
                                            </w:div>
                                            <w:div w:id="2068995468">
                                              <w:marLeft w:val="0"/>
                                              <w:marRight w:val="0"/>
                                              <w:marTop w:val="0"/>
                                              <w:marBottom w:val="0"/>
                                              <w:divBdr>
                                                <w:top w:val="none" w:sz="0" w:space="0" w:color="auto"/>
                                                <w:left w:val="none" w:sz="0" w:space="0" w:color="auto"/>
                                                <w:bottom w:val="none" w:sz="0" w:space="0" w:color="auto"/>
                                                <w:right w:val="none" w:sz="0" w:space="0" w:color="auto"/>
                                              </w:divBdr>
                                              <w:divsChild>
                                                <w:div w:id="3351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8430">
                                          <w:marLeft w:val="0"/>
                                          <w:marRight w:val="0"/>
                                          <w:marTop w:val="0"/>
                                          <w:marBottom w:val="0"/>
                                          <w:divBdr>
                                            <w:top w:val="none" w:sz="0" w:space="0" w:color="auto"/>
                                            <w:left w:val="none" w:sz="0" w:space="0" w:color="auto"/>
                                            <w:bottom w:val="none" w:sz="0" w:space="0" w:color="auto"/>
                                            <w:right w:val="none" w:sz="0" w:space="0" w:color="auto"/>
                                          </w:divBdr>
                                          <w:divsChild>
                                            <w:div w:id="925109958">
                                              <w:marLeft w:val="0"/>
                                              <w:marRight w:val="0"/>
                                              <w:marTop w:val="0"/>
                                              <w:marBottom w:val="0"/>
                                              <w:divBdr>
                                                <w:top w:val="none" w:sz="0" w:space="0" w:color="auto"/>
                                                <w:left w:val="none" w:sz="0" w:space="0" w:color="auto"/>
                                                <w:bottom w:val="none" w:sz="0" w:space="0" w:color="auto"/>
                                                <w:right w:val="none" w:sz="0" w:space="0" w:color="auto"/>
                                              </w:divBdr>
                                              <w:divsChild>
                                                <w:div w:id="828447804">
                                                  <w:marLeft w:val="0"/>
                                                  <w:marRight w:val="0"/>
                                                  <w:marTop w:val="0"/>
                                                  <w:marBottom w:val="300"/>
                                                  <w:divBdr>
                                                    <w:top w:val="none" w:sz="0" w:space="0" w:color="auto"/>
                                                    <w:left w:val="none" w:sz="0" w:space="0" w:color="auto"/>
                                                    <w:bottom w:val="none" w:sz="0" w:space="0" w:color="auto"/>
                                                    <w:right w:val="none" w:sz="0" w:space="0" w:color="auto"/>
                                                  </w:divBdr>
                                                </w:div>
                                              </w:divsChild>
                                            </w:div>
                                            <w:div w:id="540364858">
                                              <w:marLeft w:val="0"/>
                                              <w:marRight w:val="0"/>
                                              <w:marTop w:val="0"/>
                                              <w:marBottom w:val="0"/>
                                              <w:divBdr>
                                                <w:top w:val="none" w:sz="0" w:space="0" w:color="auto"/>
                                                <w:left w:val="none" w:sz="0" w:space="0" w:color="auto"/>
                                                <w:bottom w:val="none" w:sz="0" w:space="0" w:color="auto"/>
                                                <w:right w:val="none" w:sz="0" w:space="0" w:color="auto"/>
                                              </w:divBdr>
                                              <w:divsChild>
                                                <w:div w:id="1075123239">
                                                  <w:marLeft w:val="0"/>
                                                  <w:marRight w:val="0"/>
                                                  <w:marTop w:val="0"/>
                                                  <w:marBottom w:val="0"/>
                                                  <w:divBdr>
                                                    <w:top w:val="none" w:sz="0" w:space="0" w:color="auto"/>
                                                    <w:left w:val="none" w:sz="0" w:space="0" w:color="auto"/>
                                                    <w:bottom w:val="none" w:sz="0" w:space="0" w:color="auto"/>
                                                    <w:right w:val="none" w:sz="0" w:space="0" w:color="auto"/>
                                                  </w:divBdr>
                                                </w:div>
                                              </w:divsChild>
                                            </w:div>
                                            <w:div w:id="1173254220">
                                              <w:marLeft w:val="0"/>
                                              <w:marRight w:val="0"/>
                                              <w:marTop w:val="0"/>
                                              <w:marBottom w:val="0"/>
                                              <w:divBdr>
                                                <w:top w:val="none" w:sz="0" w:space="0" w:color="auto"/>
                                                <w:left w:val="none" w:sz="0" w:space="0" w:color="auto"/>
                                                <w:bottom w:val="none" w:sz="0" w:space="0" w:color="auto"/>
                                                <w:right w:val="none" w:sz="0" w:space="0" w:color="auto"/>
                                              </w:divBdr>
                                              <w:divsChild>
                                                <w:div w:id="2656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7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24</Pages>
  <Words>7266</Words>
  <Characters>41422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2026-04-16T13:39:00Z</cp:lastPrinted>
  <dcterms:created xsi:type="dcterms:W3CDTF">2026-03-23T13:40:00Z</dcterms:created>
  <dcterms:modified xsi:type="dcterms:W3CDTF">2026-04-21T09:34:00Z</dcterms:modified>
</cp:coreProperties>
</file>